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color w:val="002060"/>
          <w:sz w:val="56"/>
          <w:szCs w:val="56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2060"/>
          <w:sz w:val="56"/>
          <w:szCs w:val="56"/>
          <w:highlight w:val="white"/>
          <w:vertAlign w:val="baseline"/>
        </w:rPr>
        <w:drawing>
          <wp:inline distB="0" distT="0" distL="114300" distR="114300">
            <wp:extent cx="5936615" cy="9486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Synopsis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“</w:t>
      </w:r>
      <w:r w:rsidDel="00000000" w:rsidR="00000000" w:rsidRPr="00000000">
        <w:rPr>
          <w:b w:val="1"/>
          <w:bCs w:val="1"/>
          <w:sz w:val="40"/>
          <w:szCs w:val="40"/>
          <w:vertAlign w:val="baseline"/>
          <w:rtl w:val="0"/>
        </w:rPr>
        <w:t xml:space="preserve">AI for Medicinal Searches and Clinical Doubts</w:t>
      </w: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Samved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Shreyash Chambulwar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Saransh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Saumya Ghadge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vertAlign w:val="baseline"/>
          <w:rtl w:val="0"/>
        </w:rPr>
        <w:t xml:space="preserve">Under the Guidance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color w:val="000000"/>
          <w:vertAlign w:val="baseline"/>
        </w:rPr>
      </w:pPr>
      <w:r w:rsidDel="00000000" w:rsidR="00000000" w:rsidRPr="00000000">
        <w:rPr>
          <w:color w:val="000000"/>
          <w:sz w:val="40"/>
          <w:szCs w:val="40"/>
          <w:vertAlign w:val="baseline"/>
          <w:rtl w:val="0"/>
        </w:rPr>
        <w:t xml:space="preserve">Supriya Narad Mam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0"/>
          <w:bCs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vertAlign w:val="baseline"/>
          <w:rtl w:val="0"/>
        </w:rPr>
        <w:t xml:space="preserve">Session –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0"/>
          <w:bCs w:val="0"/>
          <w:color w:val="002060"/>
          <w:sz w:val="36"/>
          <w:szCs w:val="36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2060"/>
          <w:sz w:val="36"/>
          <w:szCs w:val="36"/>
          <w:highlight w:val="white"/>
          <w:vertAlign w:val="baseline"/>
          <w:rtl w:val="0"/>
        </w:rPr>
        <w:t xml:space="preserve">SCHOOL OF ALLIED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0"/>
          <w:bCs w:val="0"/>
          <w:color w:val="00206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2060"/>
          <w:sz w:val="36"/>
          <w:szCs w:val="36"/>
          <w:vertAlign w:val="baseline"/>
          <w:rtl w:val="0"/>
        </w:rPr>
        <w:t xml:space="preserve">FACULTY OF SCIENCE &amp;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0"/>
          <w:bCs w:val="0"/>
          <w:color w:val="00206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2060"/>
          <w:vertAlign w:val="baseline"/>
        </w:rPr>
      </w:pPr>
      <w:r w:rsidDel="00000000" w:rsidR="00000000" w:rsidRPr="00000000">
        <w:rPr>
          <w:color w:val="002060"/>
          <w:vertAlign w:val="baseline"/>
          <w:rtl w:val="0"/>
        </w:rPr>
        <w:t xml:space="preserve">Sawangi (Meghe), Wardha- 442107, Maharashtra, India</w:t>
      </w:r>
    </w:p>
    <w:p w:rsidR="00000000" w:rsidDel="00000000" w:rsidP="00000000" w:rsidRDefault="00000000" w:rsidRPr="00000000" w14:paraId="00000019">
      <w:pPr>
        <w:jc w:val="center"/>
        <w:rPr>
          <w:color w:val="002060"/>
          <w:sz w:val="22"/>
          <w:szCs w:val="22"/>
          <w:vertAlign w:val="baseline"/>
        </w:rPr>
      </w:pPr>
      <w:hyperlink r:id="rId7">
        <w:r w:rsidDel="00000000" w:rsidR="00000000" w:rsidRPr="00000000">
          <w:rPr>
            <w:color w:val="002060"/>
            <w:sz w:val="22"/>
            <w:szCs w:val="22"/>
            <w:u w:val="single"/>
            <w:vertAlign w:val="baseline"/>
            <w:rtl w:val="0"/>
          </w:rPr>
          <w:t xml:space="preserve">www.dmiher.edu.in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00206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00206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vertAlign w:val="baseline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0"/>
          <w:bC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480" w:lineRule="auto"/>
        <w:ind w:left="720" w:hanging="360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Dedicated Medicinal Search App: Faster, Safer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480" w:lineRule="auto"/>
        <w:ind w:left="720" w:hanging="360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Scope, Limitations, and Intended Use Cases — Clear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User Personas and Common Query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480" w:lineRule="auto"/>
        <w:ind w:left="720" w:hanging="360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Information Sources: Types, Quality Standards, Curation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Knowledge Architecture: From Raw Records to Clinically-Curated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b w:val="0"/>
          <w:bCs w:val="0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vertAlign w:val="baseline"/>
          <w:rtl w:val="0"/>
        </w:rPr>
        <w:t xml:space="preserve">Natural Language Understanding: Interpreting Clinical Queries Accurately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28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Dedicated Medicinal Search App: Faster, Safer 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Reduce clinician chart time — Stanford ChatEHR pilot:</w:t>
      </w:r>
    </w:p>
    <w:p w:rsidR="00000000" w:rsidDel="00000000" w:rsidP="00000000" w:rsidRDefault="00000000" w:rsidRPr="00000000" w14:paraId="0000002D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targeted chart summarization and faster review</w:t>
      </w:r>
    </w:p>
    <w:p w:rsidR="00000000" w:rsidDel="00000000" w:rsidP="00000000" w:rsidRDefault="00000000" w:rsidRPr="00000000" w14:paraId="0000002E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Improve decision speed — instant answers on</w:t>
      </w:r>
    </w:p>
    <w:p w:rsidR="00000000" w:rsidDel="00000000" w:rsidP="00000000" w:rsidRDefault="00000000" w:rsidRPr="00000000" w14:paraId="0000002F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allergies, meds, test results for time‑sensitive care</w:t>
      </w:r>
    </w:p>
    <w:p w:rsidR="00000000" w:rsidDel="00000000" w:rsidP="00000000" w:rsidRDefault="00000000" w:rsidRPr="00000000" w14:paraId="00000030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Standardize access—embed in EHRs to pull</w:t>
      </w:r>
    </w:p>
    <w:p w:rsidR="00000000" w:rsidDel="00000000" w:rsidP="00000000" w:rsidRDefault="00000000" w:rsidRPr="00000000" w14:paraId="00000031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contextually relevant data and reduce manual</w:t>
      </w:r>
    </w:p>
    <w:p w:rsidR="00000000" w:rsidDel="00000000" w:rsidP="00000000" w:rsidRDefault="00000000" w:rsidRPr="00000000" w14:paraId="00000032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color w:val="000000"/>
          <w:sz w:val="36"/>
          <w:szCs w:val="36"/>
          <w:vertAlign w:val="baseline"/>
          <w:rtl w:val="0"/>
        </w:rPr>
        <w:t xml:space="preserve">shifting.</w:t>
      </w:r>
    </w:p>
    <w:p w:rsidR="00000000" w:rsidDel="00000000" w:rsidP="00000000" w:rsidRDefault="00000000" w:rsidRPr="00000000" w14:paraId="00000033">
      <w:pPr>
        <w:spacing w:line="360" w:lineRule="auto"/>
        <w:rPr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Core Objectives and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Reduce clinician charting time by delivering concise, relevant summaries.</w:t>
      </w:r>
    </w:p>
    <w:p w:rsidR="00000000" w:rsidDel="00000000" w:rsidP="00000000" w:rsidRDefault="00000000" w:rsidRPr="00000000" w14:paraId="00000037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Improve decision-making speed with instant answers for time-sensitive clinical scenarios.</w:t>
      </w:r>
    </w:p>
    <w:p w:rsidR="00000000" w:rsidDel="00000000" w:rsidP="00000000" w:rsidRDefault="00000000" w:rsidRPr="00000000" w14:paraId="00000038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Standardize access to clinical data by embedding the tool within Electronic Health Records (EHRs), reducing the need for manual data searching and shifting between systems.</w:t>
      </w:r>
    </w:p>
    <w:p w:rsidR="00000000" w:rsidDel="00000000" w:rsidP="00000000" w:rsidRDefault="00000000" w:rsidRPr="00000000" w14:paraId="00000039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Enhance patient education by providing plain-language medication guidance and test result explanations.</w:t>
      </w:r>
    </w:p>
    <w:p w:rsidR="00000000" w:rsidDel="00000000" w:rsidP="00000000" w:rsidRDefault="00000000" w:rsidRPr="00000000" w14:paraId="0000003A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Intended Use Cases and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0"/>
          <w:iCs w:val="0"/>
          <w:sz w:val="40"/>
          <w:szCs w:val="40"/>
          <w:vertAlign w:val="baseline"/>
        </w:rPr>
      </w:pPr>
      <w:r w:rsidDel="00000000" w:rsidR="00000000" w:rsidRPr="00000000">
        <w:rPr>
          <w:i w:val="1"/>
          <w:iCs w:val="1"/>
          <w:sz w:val="40"/>
          <w:szCs w:val="40"/>
          <w:vertAlign w:val="baseline"/>
          <w:rtl w:val="0"/>
        </w:rPr>
        <w:t xml:space="preserve">Intended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0"/>
          <w:i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Chart summarization for clinicians 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Medication lookup and interaction guidance (informational only)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Patient education and FAQs (non-diagnostic)</w:t>
      </w:r>
    </w:p>
    <w:p w:rsidR="00000000" w:rsidDel="00000000" w:rsidP="00000000" w:rsidRDefault="00000000" w:rsidRPr="00000000" w14:paraId="00000042">
      <w:pPr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AI tool is designed to assist clinicians but does not replace their clinical judgment.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It is not intended to autonomously diagnose or prescribe treatments.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Accuracy is continuously monitored during the pilot phase, ensuring reliability within clinical contexts.</w:t>
      </w:r>
    </w:p>
    <w:p w:rsidR="00000000" w:rsidDel="00000000" w:rsidP="00000000" w:rsidRDefault="00000000" w:rsidRPr="00000000" w14:paraId="00000046">
      <w:pPr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0"/>
          <w:iCs w:val="0"/>
          <w:sz w:val="40"/>
          <w:szCs w:val="40"/>
          <w:vertAlign w:val="baseline"/>
        </w:rPr>
      </w:pPr>
      <w:r w:rsidDel="00000000" w:rsidR="00000000" w:rsidRPr="00000000">
        <w:rPr>
          <w:i w:val="1"/>
          <w:iCs w:val="1"/>
          <w:sz w:val="40"/>
          <w:szCs w:val="40"/>
          <w:vertAlign w:val="baseline"/>
          <w:rtl w:val="0"/>
        </w:rPr>
        <w:t xml:space="preserve">Limitations &amp;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0"/>
          <w:i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Not a replacement for clinical judgment; ultimate decisions remain with clinicians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Not for autonomous diagnosis or prescribing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Pilot-stage accuracy monitoring required, following Stanford MedHELM evaluation</w:t>
      </w:r>
    </w:p>
    <w:p w:rsidR="00000000" w:rsidDel="00000000" w:rsidP="00000000" w:rsidRDefault="00000000" w:rsidRPr="00000000" w14:paraId="0000004C">
      <w:pPr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The AI tool is designed to assist clinicians but does not replace their clinical judgment.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It is not intended to autonomously diagnose or prescribe treatments.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Accuracy is continuously monitored during the pilot phase, ensuring reliability within clinical contexts.</w:t>
      </w:r>
    </w:p>
    <w:p w:rsidR="00000000" w:rsidDel="00000000" w:rsidP="00000000" w:rsidRDefault="00000000" w:rsidRPr="00000000" w14:paraId="00000050">
      <w:pPr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User Personas and Common Query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User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Emergency Physician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Primary Care Clinician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Pharmacist/Nurse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Patient/Caregiver</w:t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The system addresses time-sensitive needs in emergency settings and supports longitudinal patient management in primary care.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Pharmacists and nurses benefit from detailed drug interaction and dosing support.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Patients and caregivers receive educational content to better understand medications and tests.</w:t>
      </w:r>
    </w:p>
    <w:p w:rsidR="00000000" w:rsidDel="00000000" w:rsidP="00000000" w:rsidRDefault="00000000" w:rsidRPr="00000000" w14:paraId="0000005F">
      <w:pPr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Typical Queries and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Rapid medication history, allergies, recent labs for urgent care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Longitudinal summaries, chronic medication adherence, preventive screening status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Drug interactions, dosing questions, adverse reaction histories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144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Plain-language medication guidance and test result explanations (educational only) </w:t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system addresses time-sensitive needs in emergency settings and supports longitudinal patient management in primary care.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Pharmacists and nurses benefit from detailed drug interaction and dosing support.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Patients and caregivers receive educational content to better understand medications and tests.</w:t>
      </w:r>
    </w:p>
    <w:p w:rsidR="00000000" w:rsidDel="00000000" w:rsidP="00000000" w:rsidRDefault="00000000" w:rsidRPr="00000000" w14:paraId="0000006A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Information Sources and Quality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Source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Electronic Health Records (EHRs)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Regulatory &amp; Reference Databases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Peer-reviewed Literature &amp; Guidelines</w:t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system integrates multiple data sources to ensure accuracy and reliability.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Emphasis on security, privacy, and provenance to maintain clinical integrity and patient confidentiality.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Continuous updates and human curation maintain high-quality, evidence-based information.</w:t>
      </w:r>
    </w:p>
    <w:p w:rsidR="00000000" w:rsidDel="00000000" w:rsidP="00000000" w:rsidRDefault="00000000" w:rsidRPr="00000000" w14:paraId="00000077">
      <w:pPr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Characteristics and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Primary clinical source; requires secure access and privacy controls; includes provenance metadata and source citations; used for clinical context, not sole recommendations 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Examples: FDA labels, RxNorm, WHO; require regular updates and strict version control; authoritative sources for dosing and safety; license/access tracked 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Examples: GRADE, ADA, WHO; combined automated ingestion with human curation; provenance tagging and timestamps; curated by clinical librarians for trustworthiness </w:t>
      </w:r>
    </w:p>
    <w:p w:rsidR="00000000" w:rsidDel="00000000" w:rsidP="00000000" w:rsidRDefault="00000000" w:rsidRPr="00000000" w14:paraId="0000007D">
      <w:pPr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system integrates multiple data sources to ensure accuracy and reliability.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Emphasis on security, privacy, and provenance to maintain clinical integrity and patient confidentiality.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Continuous updates and human curation maintain high-quality, evidence-based information.</w:t>
      </w:r>
    </w:p>
    <w:p w:rsidR="00000000" w:rsidDel="00000000" w:rsidP="00000000" w:rsidRDefault="00000000" w:rsidRPr="00000000" w14:paraId="00000081">
      <w:pPr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Knowledge Architecture and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Data Ingestion 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Normalization &amp; Mapping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Human Curation &amp; Feedback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Clinical Reasoning Layer </w:t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architecture transforms raw clinical data into clinically curated answers.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Combines automated processes with human oversight to maintain accuracy and relevance.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Utilizes clinical reasoning and rule-based logic alongside AI summarization.</w:t>
      </w:r>
    </w:p>
    <w:p w:rsidR="00000000" w:rsidDel="00000000" w:rsidP="00000000" w:rsidRDefault="00000000" w:rsidRPr="00000000" w14:paraId="0000008E">
      <w:pPr>
        <w:rPr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Secure connectors to EHRs, drug databases (RxNorm, FDA), and literature feeds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Code mapping (ICD, CPT, RxNorm), entity resolution, and de-duplication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Clinician review, MedHELM evaluation, citation verification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Rules and automations (eligibility checks), large language model (LLM)-assisted summarization with citations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architecture transforms raw clinical data into clinically curated answers.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Combines automated processes with human oversight to maintain accuracy and relevance.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Utilizes clinical reasoning and rule-based logic alongside AI summarization.</w:t>
      </w:r>
    </w:p>
    <w:p w:rsidR="00000000" w:rsidDel="00000000" w:rsidP="00000000" w:rsidRDefault="00000000" w:rsidRPr="00000000" w14:paraId="00000098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Answer Generation: When to Retrieve vs. When to 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Retrieval-First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Use for factual EHR data: labs, meds, allergies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Return cited excerpts from source records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Prioritize exact source provenance</w:t>
      </w:r>
    </w:p>
    <w:p w:rsidR="00000000" w:rsidDel="00000000" w:rsidP="00000000" w:rsidRDefault="00000000" w:rsidRPr="00000000" w14:paraId="0000009F">
      <w:pPr>
        <w:rPr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i w:val="1"/>
          <w:iCs w:val="1"/>
          <w:sz w:val="48"/>
          <w:szCs w:val="48"/>
          <w:vertAlign w:val="baseline"/>
          <w:rtl w:val="0"/>
        </w:rPr>
        <w:t xml:space="preserve">Generative-Assisted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Use for summaries and explaining implications in plain language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Include provenance, a confidence score, and clinician review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Label generated content and surface supporting citations</w:t>
      </w:r>
    </w:p>
    <w:p w:rsidR="00000000" w:rsidDel="00000000" w:rsidP="00000000" w:rsidRDefault="00000000" w:rsidRPr="00000000" w14:paraId="000000A5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i w:val="0"/>
          <w:iCs w:val="0"/>
          <w:sz w:val="48"/>
          <w:szCs w:val="4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Key Insights and 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The AI-powered medicinal search app is a clinical support tool that enhances efficiency and safety but does not replace human clinical judgment.</w:t>
      </w:r>
    </w:p>
    <w:p w:rsidR="00000000" w:rsidDel="00000000" w:rsidP="00000000" w:rsidRDefault="00000000" w:rsidRPr="00000000" w14:paraId="000000AA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Embedding the tool within EHR systems enables seamless, context-aware access to relevant patient data, reducing manual workload.</w:t>
      </w:r>
    </w:p>
    <w:p w:rsidR="00000000" w:rsidDel="00000000" w:rsidP="00000000" w:rsidRDefault="00000000" w:rsidRPr="00000000" w14:paraId="000000AB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Multiple high-quality data sources are integrated with rigorous curation and provenance tracking to ensure clinical reliability.</w:t>
      </w:r>
    </w:p>
    <w:p w:rsidR="00000000" w:rsidDel="00000000" w:rsidP="00000000" w:rsidRDefault="00000000" w:rsidRPr="00000000" w14:paraId="000000AC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Natural Language Understanding technologies enable precise interpretation of complex clinical queries, supporting diverse user needs from emergency physicians to patients.</w:t>
      </w:r>
    </w:p>
    <w:p w:rsidR="00000000" w:rsidDel="00000000" w:rsidP="00000000" w:rsidRDefault="00000000" w:rsidRPr="00000000" w14:paraId="000000AD">
      <w:pPr>
        <w:rPr>
          <w:sz w:val="36"/>
          <w:szCs w:val="36"/>
          <w:vertAlign w:val="baseline"/>
        </w:rPr>
      </w:pPr>
      <w:r w:rsidDel="00000000" w:rsidR="00000000" w:rsidRPr="00000000">
        <w:rPr>
          <w:sz w:val="36"/>
          <w:szCs w:val="36"/>
          <w:vertAlign w:val="baseline"/>
          <w:rtl w:val="0"/>
        </w:rPr>
        <w:t xml:space="preserve">Ongoing evaluation and monitoring during the pilot phase (Stanford MedHELM) are critical to ensuring accuracy and safe implementation.</w:t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Guide Name :________________  Guide’s Sign 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Student’s Name  :_____________Student’s Sign 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vertAlign w:val="baseline"/>
          <w:rtl w:val="0"/>
        </w:rPr>
        <w:t xml:space="preserve">Student’s Name  :_____________Student’s Sign :____________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b w:val="0"/>
          <w:bCs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dmiher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