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C4" w:rsidRDefault="00BB2FC4" w:rsidP="00BB2FC4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fldChar w:fldCharType="begin"/>
      </w:r>
      <w:r>
        <w:rPr>
          <w:rFonts w:ascii="Tahoma" w:eastAsia="Times New Roman" w:hAnsi="Tahoma" w:cs="Tahoma"/>
          <w:color w:val="000000"/>
          <w:sz w:val="20"/>
          <w:szCs w:val="20"/>
        </w:rPr>
        <w:instrText xml:space="preserve"> HYPERLINK "http://en.wikipedia.org/wiki/CO-OPN" </w:instrText>
      </w:r>
      <w:r>
        <w:rPr>
          <w:rFonts w:ascii="Tahoma" w:eastAsia="Times New Roman" w:hAnsi="Tahoma" w:cs="Tahoma"/>
          <w:color w:val="000000"/>
          <w:sz w:val="20"/>
          <w:szCs w:val="20"/>
        </w:rPr>
        <w:fldChar w:fldCharType="separate"/>
      </w:r>
      <w:r>
        <w:rPr>
          <w:rStyle w:val="Hyperkobling"/>
          <w:rFonts w:ascii="Tahoma" w:eastAsia="Times New Roman" w:hAnsi="Tahoma" w:cs="Tahoma"/>
          <w:sz w:val="20"/>
          <w:szCs w:val="20"/>
        </w:rPr>
        <w:t>http://en.wikipedia.org/wiki/CO-OPN</w:t>
      </w:r>
      <w:r>
        <w:rPr>
          <w:rFonts w:ascii="Tahoma" w:eastAsia="Times New Roman" w:hAnsi="Tahoma" w:cs="Tahoma"/>
          <w:color w:val="000000"/>
          <w:sz w:val="20"/>
          <w:szCs w:val="20"/>
        </w:rPr>
        <w:fldChar w:fldCharType="end"/>
      </w:r>
    </w:p>
    <w:p w:rsidR="00A20318" w:rsidRDefault="00A20318"/>
    <w:p w:rsidR="00BB2FC4" w:rsidRDefault="00365F04">
      <w:hyperlink r:id="rId6" w:history="1">
        <w:r w:rsidR="00BB2FC4" w:rsidRPr="004F0F89">
          <w:rPr>
            <w:rStyle w:val="Hyperkobling"/>
          </w:rPr>
          <w:t>http://www.informatik.uni-hamburg.de/TGI/PetriNets/classification/</w:t>
        </w:r>
      </w:hyperlink>
    </w:p>
    <w:p w:rsidR="00BB2FC4" w:rsidRDefault="00BB2FC4"/>
    <w:p w:rsidR="00BB2FC4" w:rsidRDefault="00BB2FC4"/>
    <w:p w:rsidR="00C55FC8" w:rsidRPr="00017EFE" w:rsidRDefault="00C55FC8" w:rsidP="00C55FC8">
      <w:pPr>
        <w:rPr>
          <w:color w:val="0070C0"/>
          <w:lang w:val="en-US"/>
        </w:rPr>
      </w:pPr>
      <w:r w:rsidRPr="00017EFE">
        <w:rPr>
          <w:lang w:val="en-US"/>
        </w:rPr>
        <w:t>In parallel with the development of CPNs</w:t>
      </w:r>
      <w:r w:rsidR="00017EFE">
        <w:rPr>
          <w:lang w:val="en-US"/>
        </w:rPr>
        <w:t xml:space="preserve"> several</w:t>
      </w:r>
      <w:r w:rsidRPr="00017EFE">
        <w:rPr>
          <w:lang w:val="en-US"/>
        </w:rPr>
        <w:t xml:space="preserve"> other variant</w:t>
      </w:r>
      <w:r w:rsidR="00017EFE">
        <w:rPr>
          <w:lang w:val="en-US"/>
        </w:rPr>
        <w:t>s</w:t>
      </w:r>
      <w:r w:rsidRPr="00017EFE">
        <w:rPr>
          <w:lang w:val="en-US"/>
        </w:rPr>
        <w:t xml:space="preserve"> of high-level Petri </w:t>
      </w:r>
      <w:r w:rsidR="00017EFE">
        <w:rPr>
          <w:lang w:val="en-US"/>
        </w:rPr>
        <w:t xml:space="preserve">Nets </w:t>
      </w:r>
      <w:r w:rsidRPr="00017EFE">
        <w:rPr>
          <w:lang w:val="en-US"/>
        </w:rPr>
        <w:t>and supporting computer tools have been developed. One exam</w:t>
      </w:r>
      <w:r w:rsidR="00017EFE">
        <w:rPr>
          <w:lang w:val="en-US"/>
        </w:rPr>
        <w:t>ple is</w:t>
      </w:r>
      <w:r w:rsidRPr="00017EFE">
        <w:rPr>
          <w:lang w:val="en-US"/>
        </w:rPr>
        <w:t xml:space="preserve"> Well-Formed Nets \cite{X} as supported by the </w:t>
      </w:r>
      <w:proofErr w:type="spellStart"/>
      <w:r w:rsidR="00BB2FC4" w:rsidRPr="00017EFE">
        <w:rPr>
          <w:lang w:val="en-US"/>
        </w:rPr>
        <w:t>CosyVerif</w:t>
      </w:r>
      <w:proofErr w:type="spellEnd"/>
      <w:r w:rsidR="00BB2FC4" w:rsidRPr="00017EFE">
        <w:rPr>
          <w:lang w:val="en-US"/>
        </w:rPr>
        <w:t xml:space="preserve"> Tool</w:t>
      </w:r>
      <w:r w:rsidRPr="00017EFE">
        <w:rPr>
          <w:lang w:val="en-US"/>
        </w:rPr>
        <w:t xml:space="preserve">. WFN puts restrictions on the </w:t>
      </w:r>
      <w:proofErr w:type="spellStart"/>
      <w:r w:rsidRPr="00017EFE">
        <w:rPr>
          <w:lang w:val="en-US"/>
        </w:rPr>
        <w:t>colour</w:t>
      </w:r>
      <w:proofErr w:type="spellEnd"/>
      <w:r w:rsidRPr="00017EFE">
        <w:rPr>
          <w:lang w:val="en-US"/>
        </w:rPr>
        <w:t xml:space="preserve"> set</w:t>
      </w:r>
      <w:r w:rsidR="00017EFE">
        <w:rPr>
          <w:lang w:val="en-US"/>
        </w:rPr>
        <w:t>s</w:t>
      </w:r>
      <w:r w:rsidRPr="00017EFE">
        <w:rPr>
          <w:lang w:val="en-US"/>
        </w:rPr>
        <w:t xml:space="preserve"> and associated operations to facilitate space-efficient exploration of symmetry reduced state spaces</w:t>
      </w:r>
      <w:r w:rsidR="00017EFE">
        <w:rPr>
          <w:lang w:val="en-US"/>
        </w:rPr>
        <w:t xml:space="preserve">. </w:t>
      </w:r>
      <w:r w:rsidR="00BB2FC4" w:rsidRPr="00017EFE">
        <w:rPr>
          <w:lang w:val="en-US"/>
        </w:rPr>
        <w:t xml:space="preserve">Concurrent Object-Oriented Nets </w:t>
      </w:r>
      <w:r w:rsidR="00CC070A" w:rsidRPr="00017EFE">
        <w:rPr>
          <w:lang w:val="en-US"/>
        </w:rPr>
        <w:t>(</w:t>
      </w:r>
      <w:r w:rsidR="00BB2FC4" w:rsidRPr="00017EFE">
        <w:rPr>
          <w:lang w:val="en-US"/>
        </w:rPr>
        <w:t>CO-CPN</w:t>
      </w:r>
      <w:r w:rsidR="00CC070A" w:rsidRPr="00017EFE">
        <w:rPr>
          <w:lang w:val="en-US"/>
        </w:rPr>
        <w:t xml:space="preserve">s) \cite{X} as implemented </w:t>
      </w:r>
      <w:r w:rsidR="0091219A">
        <w:rPr>
          <w:lang w:val="en-US"/>
        </w:rPr>
        <w:t xml:space="preserve">by the </w:t>
      </w:r>
      <w:proofErr w:type="spellStart"/>
      <w:r w:rsidR="00CC070A" w:rsidRPr="00017EFE">
        <w:rPr>
          <w:lang w:val="en-US"/>
        </w:rPr>
        <w:t>COOPNBuilder</w:t>
      </w:r>
      <w:proofErr w:type="spellEnd"/>
      <w:r w:rsidR="00CC070A" w:rsidRPr="00017EFE">
        <w:rPr>
          <w:lang w:val="en-US"/>
        </w:rPr>
        <w:t xml:space="preserve"> tool </w:t>
      </w:r>
      <w:r w:rsidR="0091219A">
        <w:rPr>
          <w:lang w:val="en-US"/>
        </w:rPr>
        <w:t>incorporate</w:t>
      </w:r>
      <w:r w:rsidR="00CC070A" w:rsidRPr="00017EFE">
        <w:rPr>
          <w:lang w:val="en-US"/>
        </w:rPr>
        <w:t xml:space="preserve"> object-oriented concepts in</w:t>
      </w:r>
      <w:r w:rsidR="0091219A">
        <w:rPr>
          <w:lang w:val="en-US"/>
        </w:rPr>
        <w:t>to Petri N</w:t>
      </w:r>
      <w:r w:rsidR="00CC070A" w:rsidRPr="00017EFE">
        <w:rPr>
          <w:lang w:val="en-US"/>
        </w:rPr>
        <w:t xml:space="preserve">ets and </w:t>
      </w:r>
      <w:r w:rsidR="00017EFE">
        <w:rPr>
          <w:lang w:val="en-US"/>
        </w:rPr>
        <w:t xml:space="preserve">relies on </w:t>
      </w:r>
      <w:r w:rsidR="00CC070A" w:rsidRPr="00017EFE">
        <w:rPr>
          <w:lang w:val="en-US"/>
        </w:rPr>
        <w:t>Algebraic Petri Nets \</w:t>
      </w:r>
      <w:proofErr w:type="gramStart"/>
      <w:r w:rsidR="00CC070A" w:rsidRPr="00017EFE">
        <w:rPr>
          <w:lang w:val="en-US"/>
        </w:rPr>
        <w:t>cite{</w:t>
      </w:r>
      <w:proofErr w:type="gramEnd"/>
      <w:r w:rsidR="00CC070A" w:rsidRPr="00017EFE">
        <w:rPr>
          <w:lang w:val="en-US"/>
        </w:rPr>
        <w:t xml:space="preserve">} for </w:t>
      </w:r>
      <w:r w:rsidR="00017EFE">
        <w:rPr>
          <w:lang w:val="en-US"/>
        </w:rPr>
        <w:t xml:space="preserve">specification of </w:t>
      </w:r>
      <w:r w:rsidR="00CC070A" w:rsidRPr="00017EFE">
        <w:rPr>
          <w:lang w:val="en-US"/>
        </w:rPr>
        <w:t xml:space="preserve">data types and </w:t>
      </w:r>
      <w:r w:rsidR="00017EFE">
        <w:rPr>
          <w:lang w:val="en-US"/>
        </w:rPr>
        <w:t>inscriptions</w:t>
      </w:r>
      <w:r w:rsidR="00CC070A" w:rsidRPr="00017EFE">
        <w:rPr>
          <w:lang w:val="en-US"/>
        </w:rPr>
        <w:t xml:space="preserve">. Algebraic Petri Nets </w:t>
      </w:r>
      <w:r w:rsidR="00017EFE">
        <w:rPr>
          <w:lang w:val="en-US"/>
        </w:rPr>
        <w:t>are</w:t>
      </w:r>
      <w:r w:rsidR="00CC070A" w:rsidRPr="00017EFE">
        <w:rPr>
          <w:lang w:val="en-US"/>
        </w:rPr>
        <w:t xml:space="preserve"> high-level Petri nets in which algebraic abstract data types are used for data modelling and for the semantics of inscriptions.</w:t>
      </w:r>
      <w:r w:rsidRPr="00017EFE">
        <w:rPr>
          <w:color w:val="0070C0"/>
          <w:lang w:val="en-US"/>
        </w:rPr>
        <w:t xml:space="preserve"> Reference Nets for \cite{Y} </w:t>
      </w:r>
      <w:r w:rsidR="0091219A">
        <w:rPr>
          <w:color w:val="0070C0"/>
          <w:lang w:val="en-US"/>
        </w:rPr>
        <w:t>is a class of high-level Petri N</w:t>
      </w:r>
      <w:r w:rsidRPr="00017EFE">
        <w:rPr>
          <w:color w:val="0070C0"/>
          <w:lang w:val="en-US"/>
        </w:rPr>
        <w:t>ets targeting agent-oriented object systems in which the tokens themselves may</w:t>
      </w:r>
      <w:r w:rsidR="0091219A">
        <w:rPr>
          <w:color w:val="0070C0"/>
          <w:lang w:val="en-US"/>
        </w:rPr>
        <w:t xml:space="preserve"> constitute references to other Petri Net</w:t>
      </w:r>
      <w:r w:rsidRPr="00017EFE">
        <w:rPr>
          <w:color w:val="0070C0"/>
          <w:lang w:val="en-US"/>
        </w:rPr>
        <w:t xml:space="preserve"> models. </w:t>
      </w:r>
      <w:r w:rsidR="0091219A">
        <w:rPr>
          <w:color w:val="0070C0"/>
          <w:lang w:val="en-US"/>
        </w:rPr>
        <w:t xml:space="preserve">The RN </w:t>
      </w:r>
      <w:r w:rsidRPr="00017EFE">
        <w:rPr>
          <w:color w:val="0070C0"/>
          <w:lang w:val="en-US"/>
        </w:rPr>
        <w:t xml:space="preserve">formalism is supported by the Renew tool </w:t>
      </w:r>
      <w:r w:rsidR="0091219A">
        <w:rPr>
          <w:color w:val="0070C0"/>
          <w:lang w:val="en-US"/>
        </w:rPr>
        <w:t xml:space="preserve">which uses </w:t>
      </w:r>
      <w:r w:rsidRPr="00017EFE">
        <w:rPr>
          <w:color w:val="0070C0"/>
          <w:lang w:val="en-US"/>
        </w:rPr>
        <w:t>Java as the inscription language.</w:t>
      </w:r>
    </w:p>
    <w:p w:rsidR="00BB2FC4" w:rsidRDefault="00BB2FC4">
      <w:pPr>
        <w:rPr>
          <w:lang w:val="en-US"/>
        </w:rPr>
      </w:pPr>
    </w:p>
    <w:p w:rsidR="00C55FC8" w:rsidRDefault="00C55FC8" w:rsidP="00C55FC8">
      <w:pPr>
        <w:rPr>
          <w:lang w:val="en-US"/>
        </w:rPr>
      </w:pPr>
      <w:bookmarkStart w:id="0" w:name="cdf90"/>
      <w:r w:rsidRPr="00BB2FC4">
        <w:rPr>
          <w:lang w:val="en-US"/>
        </w:rPr>
        <w:t xml:space="preserve">[cdf90] G. </w:t>
      </w:r>
      <w:proofErr w:type="spellStart"/>
      <w:r w:rsidRPr="00BB2FC4">
        <w:rPr>
          <w:lang w:val="en-US"/>
        </w:rPr>
        <w:t>Chiola</w:t>
      </w:r>
      <w:proofErr w:type="spellEnd"/>
      <w:r w:rsidRPr="00BB2FC4">
        <w:rPr>
          <w:lang w:val="en-US"/>
        </w:rPr>
        <w:t xml:space="preserve">, C. </w:t>
      </w:r>
      <w:proofErr w:type="spellStart"/>
      <w:r w:rsidRPr="00BB2FC4">
        <w:rPr>
          <w:lang w:val="en-US"/>
        </w:rPr>
        <w:t>Dutheillet</w:t>
      </w:r>
      <w:proofErr w:type="spellEnd"/>
      <w:r w:rsidRPr="00BB2FC4">
        <w:rPr>
          <w:lang w:val="en-US"/>
        </w:rPr>
        <w:t xml:space="preserve">, G. </w:t>
      </w:r>
      <w:proofErr w:type="spellStart"/>
      <w:r w:rsidRPr="00BB2FC4">
        <w:rPr>
          <w:lang w:val="en-US"/>
        </w:rPr>
        <w:t>Franceschinis</w:t>
      </w:r>
      <w:proofErr w:type="spellEnd"/>
      <w:r w:rsidRPr="00BB2FC4">
        <w:rPr>
          <w:lang w:val="en-US"/>
        </w:rPr>
        <w:t xml:space="preserve">, S. Haddad, On Well-Formed </w:t>
      </w:r>
      <w:proofErr w:type="spellStart"/>
      <w:r w:rsidRPr="00BB2FC4">
        <w:rPr>
          <w:lang w:val="en-US"/>
        </w:rPr>
        <w:t>Coloured</w:t>
      </w:r>
      <w:proofErr w:type="spellEnd"/>
      <w:r w:rsidRPr="00BB2FC4">
        <w:rPr>
          <w:lang w:val="en-US"/>
        </w:rPr>
        <w:t xml:space="preserve"> Nets and their Symbolic Reachability Graph, 11th Int. Conf. on Applications and Theory of Petri Nets, Paris, France, 1990</w:t>
      </w:r>
      <w:bookmarkEnd w:id="0"/>
    </w:p>
    <w:p w:rsidR="00C55FC8" w:rsidRPr="00C55FC8" w:rsidRDefault="00C55FC8">
      <w:pPr>
        <w:rPr>
          <w:rStyle w:val="reference-text"/>
          <w:sz w:val="20"/>
          <w:szCs w:val="20"/>
          <w:lang w:val="en-US"/>
        </w:rPr>
      </w:pPr>
    </w:p>
    <w:p w:rsidR="00CC070A" w:rsidRDefault="00CC070A">
      <w:pPr>
        <w:rPr>
          <w:rStyle w:val="reference-text"/>
          <w:sz w:val="20"/>
          <w:szCs w:val="20"/>
          <w:lang w:val="en"/>
        </w:rPr>
      </w:pPr>
      <w:r>
        <w:rPr>
          <w:rStyle w:val="reference-text"/>
          <w:sz w:val="20"/>
          <w:szCs w:val="20"/>
          <w:lang w:val="en"/>
        </w:rPr>
        <w:t xml:space="preserve">Wolfgang </w:t>
      </w:r>
      <w:proofErr w:type="spellStart"/>
      <w:r>
        <w:rPr>
          <w:rStyle w:val="reference-text"/>
          <w:sz w:val="20"/>
          <w:szCs w:val="20"/>
          <w:lang w:val="en"/>
        </w:rPr>
        <w:t>Reisig</w:t>
      </w:r>
      <w:proofErr w:type="spellEnd"/>
      <w:r>
        <w:rPr>
          <w:rStyle w:val="reference-text"/>
          <w:sz w:val="20"/>
          <w:szCs w:val="20"/>
          <w:lang w:val="en"/>
        </w:rPr>
        <w:t xml:space="preserve">: Petri Nets and Algebraic Specifications.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Theor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Style w:val="reference-text"/>
          <w:sz w:val="20"/>
          <w:szCs w:val="20"/>
          <w:lang w:val="en"/>
        </w:rPr>
        <w:t>Comput</w:t>
      </w:r>
      <w:proofErr w:type="spellEnd"/>
      <w:r>
        <w:rPr>
          <w:rStyle w:val="reference-text"/>
          <w:sz w:val="20"/>
          <w:szCs w:val="20"/>
          <w:lang w:val="en"/>
        </w:rPr>
        <w:t>.</w:t>
      </w:r>
      <w:proofErr w:type="gramEnd"/>
      <w:r>
        <w:rPr>
          <w:rStyle w:val="reference-text"/>
          <w:sz w:val="20"/>
          <w:szCs w:val="20"/>
          <w:lang w:val="en"/>
        </w:rPr>
        <w:t xml:space="preserve"> Sci. 80(1): 1-34 (1991)</w:t>
      </w:r>
    </w:p>
    <w:p w:rsidR="00CC070A" w:rsidRDefault="00CC070A">
      <w:pPr>
        <w:rPr>
          <w:lang w:val="en-US"/>
        </w:rPr>
      </w:pP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</w:t>
      </w:r>
      <w:proofErr w:type="spellStart"/>
      <w:r>
        <w:rPr>
          <w:color w:val="505B62"/>
          <w:lang w:val="en"/>
        </w:rPr>
        <w:t>inproceedings</w:t>
      </w:r>
      <w:proofErr w:type="spellEnd"/>
      <w:r>
        <w:rPr>
          <w:color w:val="505B62"/>
          <w:lang w:val="en"/>
        </w:rPr>
        <w:t>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/BibersteinBG01,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author</w:t>
      </w:r>
      <w:proofErr w:type="gramEnd"/>
      <w:r>
        <w:rPr>
          <w:color w:val="505B62"/>
          <w:lang w:val="en"/>
        </w:rPr>
        <w:t xml:space="preserve">    = {O. </w:t>
      </w:r>
      <w:proofErr w:type="spellStart"/>
      <w:r>
        <w:rPr>
          <w:color w:val="505B62"/>
          <w:lang w:val="en"/>
        </w:rPr>
        <w:t>Biberstein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Didier </w:t>
      </w:r>
      <w:proofErr w:type="spellStart"/>
      <w:r>
        <w:rPr>
          <w:color w:val="505B62"/>
          <w:lang w:val="en"/>
        </w:rPr>
        <w:t>Buchs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Nicolas </w:t>
      </w:r>
      <w:proofErr w:type="spellStart"/>
      <w:r>
        <w:rPr>
          <w:color w:val="505B62"/>
          <w:lang w:val="en"/>
        </w:rPr>
        <w:t>Guelfi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{Object-Oriented Nets with Algebraic Specifications: The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CO-OPN/2 Formalism},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booktitle</w:t>
      </w:r>
      <w:proofErr w:type="spellEnd"/>
      <w:proofErr w:type="gramEnd"/>
      <w:r>
        <w:rPr>
          <w:color w:val="505B62"/>
          <w:lang w:val="en"/>
        </w:rPr>
        <w:t xml:space="preserve"> = {Concurrent Object-Oriented Programming and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pages</w:t>
      </w:r>
      <w:proofErr w:type="gramEnd"/>
      <w:r>
        <w:rPr>
          <w:color w:val="505B62"/>
          <w:lang w:val="en"/>
        </w:rPr>
        <w:t xml:space="preserve">     = {73-130},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ee</w:t>
      </w:r>
      <w:proofErr w:type="spellEnd"/>
      <w:proofErr w:type="gramEnd"/>
      <w:r>
        <w:rPr>
          <w:color w:val="505B62"/>
          <w:lang w:val="en"/>
        </w:rPr>
        <w:t xml:space="preserve">        = {http://dx.doi.org/10.1007/3-540-45397-0_3},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crossref</w:t>
      </w:r>
      <w:proofErr w:type="spellEnd"/>
      <w:r>
        <w:rPr>
          <w:color w:val="505B62"/>
          <w:lang w:val="en"/>
        </w:rPr>
        <w:t xml:space="preserve">  =</w:t>
      </w:r>
      <w:proofErr w:type="gramEnd"/>
      <w:r>
        <w:rPr>
          <w:color w:val="505B62"/>
          <w:lang w:val="en"/>
        </w:rPr>
        <w:t xml:space="preserve"> {</w:t>
      </w:r>
      <w:proofErr w:type="spellStart"/>
      <w:r>
        <w:rPr>
          <w:color w:val="505B62"/>
          <w:lang w:val="en"/>
        </w:rPr>
        <w:t>DBLP:conf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>}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proofErr w:type="gramStart"/>
      <w:r>
        <w:rPr>
          <w:color w:val="505B62"/>
          <w:lang w:val="en"/>
        </w:rPr>
        <w:t>@proceedings{</w:t>
      </w:r>
      <w:proofErr w:type="spellStart"/>
      <w:proofErr w:type="gramEnd"/>
      <w:r>
        <w:rPr>
          <w:color w:val="505B62"/>
          <w:lang w:val="en"/>
        </w:rPr>
        <w:fldChar w:fldCharType="begin"/>
      </w:r>
      <w:r>
        <w:rPr>
          <w:color w:val="505B62"/>
          <w:lang w:val="en"/>
        </w:rPr>
        <w:instrText xml:space="preserve"> HYPERLINK "http://dblp.uni-trier.de/db/about/bibtex.html" </w:instrText>
      </w:r>
      <w:r>
        <w:rPr>
          <w:color w:val="505B62"/>
          <w:lang w:val="en"/>
        </w:rPr>
        <w:fldChar w:fldCharType="separate"/>
      </w:r>
      <w:r>
        <w:rPr>
          <w:rStyle w:val="Hyperkobling"/>
          <w:lang w:val="en"/>
        </w:rPr>
        <w:t>DBLP</w:t>
      </w:r>
      <w:r>
        <w:rPr>
          <w:color w:val="505B62"/>
          <w:lang w:val="en"/>
        </w:rPr>
        <w:fldChar w:fldCharType="end"/>
      </w:r>
      <w:r>
        <w:rPr>
          <w:color w:val="505B62"/>
          <w:lang w:val="en"/>
        </w:rPr>
        <w:t>:conf</w:t>
      </w:r>
      <w:proofErr w:type="spellEnd"/>
      <w:r>
        <w:rPr>
          <w:color w:val="505B62"/>
          <w:lang w:val="en"/>
        </w:rPr>
        <w:t>/</w:t>
      </w:r>
      <w:proofErr w:type="spellStart"/>
      <w:r>
        <w:rPr>
          <w:color w:val="505B62"/>
          <w:lang w:val="en"/>
        </w:rPr>
        <w:t>cooppn</w:t>
      </w:r>
      <w:proofErr w:type="spellEnd"/>
      <w:r>
        <w:rPr>
          <w:color w:val="505B62"/>
          <w:lang w:val="en"/>
        </w:rPr>
        <w:t>/2001,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editor</w:t>
      </w:r>
      <w:proofErr w:type="gramEnd"/>
      <w:r>
        <w:rPr>
          <w:color w:val="505B62"/>
          <w:lang w:val="en"/>
        </w:rPr>
        <w:t xml:space="preserve">    = {Gul Agha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Fiorella</w:t>
      </w:r>
      <w:proofErr w:type="spellEnd"/>
      <w:r>
        <w:rPr>
          <w:color w:val="505B62"/>
          <w:lang w:val="en"/>
        </w:rPr>
        <w:t xml:space="preserve"> de </w:t>
      </w:r>
      <w:proofErr w:type="spellStart"/>
      <w:r>
        <w:rPr>
          <w:color w:val="505B62"/>
          <w:lang w:val="en"/>
        </w:rPr>
        <w:t>Cindio</w:t>
      </w:r>
      <w:proofErr w:type="spellEnd"/>
      <w:r>
        <w:rPr>
          <w:color w:val="505B62"/>
          <w:lang w:val="en"/>
        </w:rPr>
        <w:t xml:space="preserve"> and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spellStart"/>
      <w:r>
        <w:rPr>
          <w:color w:val="505B62"/>
          <w:lang w:val="en"/>
        </w:rPr>
        <w:t>Grzegorz</w:t>
      </w:r>
      <w:proofErr w:type="spellEnd"/>
      <w:r>
        <w:rPr>
          <w:color w:val="505B62"/>
          <w:lang w:val="en"/>
        </w:rPr>
        <w:t xml:space="preserve"> </w:t>
      </w:r>
      <w:proofErr w:type="spellStart"/>
      <w:r>
        <w:rPr>
          <w:color w:val="505B62"/>
          <w:lang w:val="en"/>
        </w:rPr>
        <w:t>Rozenberg</w:t>
      </w:r>
      <w:proofErr w:type="spellEnd"/>
      <w:r>
        <w:rPr>
          <w:color w:val="505B62"/>
          <w:lang w:val="en"/>
        </w:rPr>
        <w:t>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title</w:t>
      </w:r>
      <w:proofErr w:type="gramEnd"/>
      <w:r>
        <w:rPr>
          <w:color w:val="505B62"/>
          <w:lang w:val="en"/>
        </w:rPr>
        <w:t xml:space="preserve">     = {Concurrent Object-Oriented Programming and Petri Nets, Advances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             </w:t>
      </w:r>
      <w:proofErr w:type="gramStart"/>
      <w:r>
        <w:rPr>
          <w:color w:val="505B62"/>
          <w:lang w:val="en"/>
        </w:rPr>
        <w:t>in</w:t>
      </w:r>
      <w:proofErr w:type="gramEnd"/>
      <w:r>
        <w:rPr>
          <w:color w:val="505B62"/>
          <w:lang w:val="en"/>
        </w:rPr>
        <w:t xml:space="preserve"> Petri Nets},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publisher</w:t>
      </w:r>
      <w:proofErr w:type="gramEnd"/>
      <w:r>
        <w:rPr>
          <w:color w:val="505B62"/>
          <w:lang w:val="en"/>
        </w:rPr>
        <w:t xml:space="preserve"> = {Springer},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series</w:t>
      </w:r>
      <w:proofErr w:type="gramEnd"/>
      <w:r>
        <w:rPr>
          <w:color w:val="505B62"/>
          <w:lang w:val="en"/>
        </w:rPr>
        <w:t xml:space="preserve">    = {Lecture Notes in Computer Science},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volume</w:t>
      </w:r>
      <w:proofErr w:type="gramEnd"/>
      <w:r>
        <w:rPr>
          <w:color w:val="505B62"/>
          <w:lang w:val="en"/>
        </w:rPr>
        <w:t xml:space="preserve">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gramStart"/>
      <w:r>
        <w:rPr>
          <w:color w:val="505B62"/>
          <w:lang w:val="en"/>
        </w:rPr>
        <w:t>year</w:t>
      </w:r>
      <w:proofErr w:type="gramEnd"/>
      <w:r>
        <w:rPr>
          <w:color w:val="505B62"/>
          <w:lang w:val="en"/>
        </w:rPr>
        <w:t xml:space="preserve">      = {2001},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isbn</w:t>
      </w:r>
      <w:proofErr w:type="spellEnd"/>
      <w:proofErr w:type="gramEnd"/>
      <w:r>
        <w:rPr>
          <w:color w:val="505B62"/>
          <w:lang w:val="en"/>
        </w:rPr>
        <w:t xml:space="preserve">      = {3-540-41942-X},</w:t>
      </w:r>
    </w:p>
    <w:p w:rsidR="00BB2FC4" w:rsidRDefault="00BB2FC4" w:rsidP="00BB2FC4">
      <w:pPr>
        <w:pStyle w:val="HTML-forhndsformatert"/>
        <w:shd w:val="clear" w:color="auto" w:fill="FFFFFF"/>
        <w:rPr>
          <w:color w:val="505B62"/>
          <w:lang w:val="en"/>
        </w:rPr>
      </w:pPr>
      <w:r>
        <w:rPr>
          <w:color w:val="505B62"/>
          <w:lang w:val="en"/>
        </w:rPr>
        <w:t xml:space="preserve">  </w:t>
      </w:r>
      <w:proofErr w:type="spellStart"/>
      <w:proofErr w:type="gramStart"/>
      <w:r>
        <w:rPr>
          <w:color w:val="505B62"/>
          <w:lang w:val="en"/>
        </w:rPr>
        <w:t>bibsource</w:t>
      </w:r>
      <w:proofErr w:type="spellEnd"/>
      <w:proofErr w:type="gramEnd"/>
      <w:r>
        <w:rPr>
          <w:color w:val="505B62"/>
          <w:lang w:val="en"/>
        </w:rPr>
        <w:t xml:space="preserve"> = {DBLP, http://dblp.uni-trier.de}</w:t>
      </w:r>
    </w:p>
    <w:p w:rsidR="00BB2FC4" w:rsidRPr="00BB2FC4" w:rsidRDefault="00BB2FC4">
      <w:pPr>
        <w:rPr>
          <w:lang w:val="en"/>
        </w:rPr>
      </w:pPr>
    </w:p>
    <w:p w:rsidR="00FE526D" w:rsidRDefault="00FE526D">
      <w:pPr>
        <w:rPr>
          <w:lang w:val="en-US"/>
        </w:rPr>
      </w:pPr>
    </w:p>
    <w:p w:rsidR="00C55FC8" w:rsidRDefault="00C55FC8">
      <w:pPr>
        <w:rPr>
          <w:color w:val="0070C0"/>
          <w:lang w:val="en-US"/>
        </w:rPr>
      </w:pPr>
    </w:p>
    <w:p w:rsidR="00C55FC8" w:rsidRDefault="00365F04">
      <w:hyperlink r:id="rId7" w:history="1">
        <w:proofErr w:type="spellStart"/>
        <w:r w:rsidR="00C55FC8" w:rsidRPr="00C55FC8">
          <w:rPr>
            <w:rStyle w:val="Hyperkobling"/>
            <w:lang w:val="en-US"/>
          </w:rPr>
          <w:t>Rüdiger</w:t>
        </w:r>
        <w:proofErr w:type="spellEnd"/>
        <w:r w:rsidR="00C55FC8" w:rsidRPr="00C55FC8">
          <w:rPr>
            <w:rStyle w:val="Hyperkobling"/>
            <w:lang w:val="en-US"/>
          </w:rPr>
          <w:t xml:space="preserve"> </w:t>
        </w:r>
        <w:proofErr w:type="spellStart"/>
        <w:r w:rsidR="00C55FC8" w:rsidRPr="00C55FC8">
          <w:rPr>
            <w:rStyle w:val="Hyperkobling"/>
            <w:lang w:val="en-US"/>
          </w:rPr>
          <w:t>Valk</w:t>
        </w:r>
        <w:proofErr w:type="spellEnd"/>
      </w:hyperlink>
      <w:r w:rsidR="00C55FC8" w:rsidRPr="00C55FC8">
        <w:rPr>
          <w:lang w:val="en-US"/>
        </w:rPr>
        <w:t>.</w:t>
      </w:r>
      <w:r w:rsidR="00C55FC8" w:rsidRPr="00C55FC8">
        <w:rPr>
          <w:lang w:val="en-US"/>
        </w:rPr>
        <w:br/>
      </w:r>
      <w:hyperlink r:id="rId8" w:history="1">
        <w:r w:rsidR="00C55FC8" w:rsidRPr="00C55FC8">
          <w:rPr>
            <w:rStyle w:val="Hyperkobling"/>
            <w:b/>
            <w:bCs/>
            <w:lang w:val="en-US"/>
          </w:rPr>
          <w:t>Object Petri Nets - Using the Nets-within-Nets Paradigm</w:t>
        </w:r>
      </w:hyperlink>
      <w:r w:rsidR="00C55FC8" w:rsidRPr="00C55FC8">
        <w:rPr>
          <w:lang w:val="en-US"/>
        </w:rPr>
        <w:t>.</w:t>
      </w:r>
      <w:r w:rsidR="00C55FC8" w:rsidRPr="00C55FC8">
        <w:rPr>
          <w:lang w:val="en-US"/>
        </w:rPr>
        <w:br/>
      </w:r>
      <w:r w:rsidR="00C55FC8" w:rsidRPr="00C55FC8">
        <w:rPr>
          <w:lang w:val="en-US"/>
        </w:rPr>
        <w:lastRenderedPageBreak/>
        <w:t xml:space="preserve">In </w:t>
      </w:r>
      <w:proofErr w:type="spellStart"/>
      <w:r w:rsidR="00C55FC8" w:rsidRPr="00C55FC8">
        <w:rPr>
          <w:lang w:val="en-US"/>
        </w:rPr>
        <w:t>Jörg</w:t>
      </w:r>
      <w:proofErr w:type="spellEnd"/>
      <w:r w:rsidR="00C55FC8" w:rsidRPr="00C55FC8">
        <w:rPr>
          <w:lang w:val="en-US"/>
        </w:rPr>
        <w:t xml:space="preserve"> </w:t>
      </w:r>
      <w:proofErr w:type="spellStart"/>
      <w:r w:rsidR="00C55FC8" w:rsidRPr="00C55FC8">
        <w:rPr>
          <w:lang w:val="en-US"/>
        </w:rPr>
        <w:t>Desel</w:t>
      </w:r>
      <w:proofErr w:type="spellEnd"/>
      <w:r w:rsidR="00C55FC8" w:rsidRPr="00C55FC8">
        <w:rPr>
          <w:lang w:val="en-US"/>
        </w:rPr>
        <w:t xml:space="preserve">, Wolfgang </w:t>
      </w:r>
      <w:proofErr w:type="spellStart"/>
      <w:r w:rsidR="00C55FC8" w:rsidRPr="00C55FC8">
        <w:rPr>
          <w:lang w:val="en-US"/>
        </w:rPr>
        <w:t>Reisig</w:t>
      </w:r>
      <w:proofErr w:type="spellEnd"/>
      <w:r w:rsidR="00C55FC8" w:rsidRPr="00C55FC8">
        <w:rPr>
          <w:lang w:val="en-US"/>
        </w:rPr>
        <w:t xml:space="preserve">, and </w:t>
      </w:r>
      <w:proofErr w:type="spellStart"/>
      <w:r w:rsidR="00C55FC8" w:rsidRPr="00C55FC8">
        <w:rPr>
          <w:lang w:val="en-US"/>
        </w:rPr>
        <w:t>Grzegorz</w:t>
      </w:r>
      <w:proofErr w:type="spellEnd"/>
      <w:r w:rsidR="00C55FC8" w:rsidRPr="00C55FC8">
        <w:rPr>
          <w:lang w:val="en-US"/>
        </w:rPr>
        <w:t xml:space="preserve"> </w:t>
      </w:r>
      <w:proofErr w:type="spellStart"/>
      <w:r w:rsidR="00C55FC8" w:rsidRPr="00C55FC8">
        <w:rPr>
          <w:lang w:val="en-US"/>
        </w:rPr>
        <w:t>Rozenberg</w:t>
      </w:r>
      <w:proofErr w:type="spellEnd"/>
      <w:r w:rsidR="00C55FC8" w:rsidRPr="00C55FC8">
        <w:rPr>
          <w:lang w:val="en-US"/>
        </w:rPr>
        <w:t xml:space="preserve">, editors, </w:t>
      </w:r>
      <w:r w:rsidR="00C55FC8" w:rsidRPr="00C55FC8">
        <w:rPr>
          <w:rStyle w:val="Utheving"/>
          <w:lang w:val="en-US"/>
        </w:rPr>
        <w:t>Advances in Petri Nets: Lectures on Concurrency and Petri Nets</w:t>
      </w:r>
      <w:r w:rsidR="00C55FC8" w:rsidRPr="00C55FC8">
        <w:rPr>
          <w:lang w:val="en-US"/>
        </w:rPr>
        <w:t xml:space="preserve">, volume 3098 of </w:t>
      </w:r>
      <w:r w:rsidR="00C55FC8" w:rsidRPr="00C55FC8">
        <w:rPr>
          <w:rStyle w:val="Utheving"/>
          <w:lang w:val="en-US"/>
        </w:rPr>
        <w:t>Lecture Notes in Computer Science</w:t>
      </w:r>
      <w:r w:rsidR="00C55FC8" w:rsidRPr="00C55FC8">
        <w:rPr>
          <w:lang w:val="en-US"/>
        </w:rPr>
        <w:t xml:space="preserve">, pages 819-848. </w:t>
      </w:r>
      <w:r w:rsidR="00C55FC8">
        <w:t>Springer-</w:t>
      </w:r>
      <w:proofErr w:type="spellStart"/>
      <w:r w:rsidR="00C55FC8">
        <w:t>Verlag</w:t>
      </w:r>
      <w:proofErr w:type="spellEnd"/>
      <w:r w:rsidR="00C55FC8">
        <w:t>, Berlin, Heidelberg, New York, 2004.</w:t>
      </w:r>
    </w:p>
    <w:p w:rsidR="00365F04" w:rsidRDefault="00365F04"/>
    <w:p w:rsidR="00365F04" w:rsidRDefault="00365F04" w:rsidP="00365F04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NOTES:</w:t>
      </w:r>
    </w:p>
    <w:p w:rsidR="00365F04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Removed explanation of tag below substitution transitions Sect 2.</w:t>
      </w:r>
    </w:p>
    <w:p w:rsidR="00365F04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Remove some redundancy in thick border indicating enabled Sect 2.</w:t>
      </w:r>
    </w:p>
    <w:p w:rsidR="00365F04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Removed explanation of input/output ports in Sect 2.</w:t>
      </w:r>
    </w:p>
    <w:p w:rsidR="00365F04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Removed some explicit discussion of relation to </w:t>
      </w:r>
      <w:proofErr w:type="spellStart"/>
      <w:r>
        <w:rPr>
          <w:b/>
          <w:color w:val="FF0000"/>
          <w:lang w:val="en-US"/>
        </w:rPr>
        <w:t>PrT</w:t>
      </w:r>
      <w:proofErr w:type="spellEnd"/>
      <w:r>
        <w:rPr>
          <w:b/>
          <w:color w:val="FF0000"/>
          <w:lang w:val="en-US"/>
        </w:rPr>
        <w:t xml:space="preserve"> nets in Sect 3.</w:t>
      </w:r>
    </w:p>
    <w:p w:rsidR="00365F04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Reduced some part away in Sect 4 on the explanation of the graphical user interface of CPN Tools.</w:t>
      </w:r>
    </w:p>
    <w:p w:rsidR="00365F04" w:rsidRPr="003B7ABB" w:rsidRDefault="00365F04" w:rsidP="00365F04">
      <w:pPr>
        <w:pStyle w:val="Listeavsnitt"/>
        <w:numPr>
          <w:ilvl w:val="0"/>
          <w:numId w:val="1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Moved some parts from the end of the tools section into the acknowledgment part</w:t>
      </w:r>
    </w:p>
    <w:p w:rsidR="00365F04" w:rsidRPr="00CC070A" w:rsidRDefault="00365F04">
      <w:pPr>
        <w:rPr>
          <w:color w:val="0070C0"/>
          <w:lang w:val="en-US"/>
        </w:rPr>
      </w:pPr>
      <w:bookmarkStart w:id="1" w:name="_GoBack"/>
      <w:bookmarkEnd w:id="1"/>
    </w:p>
    <w:sectPr w:rsidR="00365F04" w:rsidRPr="00CC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6759E"/>
    <w:multiLevelType w:val="hybridMultilevel"/>
    <w:tmpl w:val="238C3872"/>
    <w:lvl w:ilvl="0" w:tplc="B1A22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E1"/>
    <w:rsid w:val="00017EFE"/>
    <w:rsid w:val="00365F04"/>
    <w:rsid w:val="008322E1"/>
    <w:rsid w:val="0091219A"/>
    <w:rsid w:val="00A20318"/>
    <w:rsid w:val="00BB2FC4"/>
    <w:rsid w:val="00C55FC8"/>
    <w:rsid w:val="00CC070A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  <w:style w:type="paragraph" w:styleId="Listeavsnitt">
    <w:name w:val="List Paragraph"/>
    <w:basedOn w:val="Normal"/>
    <w:uiPriority w:val="34"/>
    <w:qFormat/>
    <w:rsid w:val="00365F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C4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B2FC4"/>
    <w:rPr>
      <w:color w:val="0000FF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B2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B2FC4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reference-text">
    <w:name w:val="reference-text"/>
    <w:basedOn w:val="Standardskriftforavsnitt"/>
    <w:rsid w:val="00CC070A"/>
  </w:style>
  <w:style w:type="character" w:styleId="Sterk">
    <w:name w:val="Strong"/>
    <w:basedOn w:val="Standardskriftforavsnitt"/>
    <w:uiPriority w:val="22"/>
    <w:qFormat/>
    <w:rsid w:val="00C55FC8"/>
    <w:rPr>
      <w:b/>
      <w:bCs/>
    </w:rPr>
  </w:style>
  <w:style w:type="character" w:styleId="Utheving">
    <w:name w:val="Emphasis"/>
    <w:basedOn w:val="Standardskriftforavsnitt"/>
    <w:uiPriority w:val="20"/>
    <w:qFormat/>
    <w:rsid w:val="00C55FC8"/>
    <w:rPr>
      <w:i/>
      <w:iCs/>
    </w:rPr>
  </w:style>
  <w:style w:type="paragraph" w:styleId="Listeavsnitt">
    <w:name w:val="List Paragraph"/>
    <w:basedOn w:val="Normal"/>
    <w:uiPriority w:val="34"/>
    <w:qFormat/>
    <w:rsid w:val="00365F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k.uni-hamburg.de/TGI/publikationen/public/2004/Valk04/Valk0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formatik.uni-hamburg.de/TGI/mitarbeiter/profs/val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rmatik.uni-hamburg.de/TGI/PetriNets/classific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Michael Kristensen</dc:creator>
  <cp:keywords/>
  <dc:description/>
  <cp:lastModifiedBy>Lars Michael Kristensen</cp:lastModifiedBy>
  <cp:revision>4</cp:revision>
  <dcterms:created xsi:type="dcterms:W3CDTF">2014-05-12T12:25:00Z</dcterms:created>
  <dcterms:modified xsi:type="dcterms:W3CDTF">2014-05-13T09:42:00Z</dcterms:modified>
</cp:coreProperties>
</file>