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2"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t xml:space="preserve">1.0 Objective / Purpose</w:t>
        <w:br/>
        <w:t/>
        <w:br/>
        <w:t>This policy establishes the framework for how departments acquire AI tools, manage budgets, and measure return on investment under ODVI's mandate for AI adoption and transformation.</w:t>
        <w:br/>
        <w:t/>
        <w:br/>
        <w:t>This policy adopts a decentralized ownership model. Each department or business unit is responsible for acquiring and managing its own AI subscription. AI tools are team assets, not centralized IT resources.</w:t>
        <w:br/>
        <w:t/>
        <w:br/>
        <w:t>2.0 Scope and Coverage</w:t>
        <w:br/>
        <w:t/>
        <w:br/>
        <w:t>This policy applies to:</w:t>
        <w:br/>
        <w:t/>
        <w:br/>
        <w:t>• All departments and business units under ODVI.</w:t>
        <w:br/>
        <w:t>• All AI tools and subscriptions used for operational purposes.</w:t>
        <w:br/>
        <w:t>• All budget requests related to AI tooling.</w:t>
        <w:br/>
        <w:t/>
        <w:br/>
        <w:t>3.0 Policy Guidelines</w:t>
        <w:br/>
        <w:t/>
        <w:br/>
        <w:t>3.1 Request Submission</w:t>
        <w:br/>
        <w:t/>
        <w:br/>
        <w:t>The requesting department must identify the need for the AI tool and submit a request containing the purpose and justification, proposed use case, expected outputs and ROI, and estimated cost with charge code.</w:t>
        <w:br/>
        <w:t/>
        <w:br/>
        <w:t>3.2 Review and Approval</w:t>
        <w:br/>
        <w:t/>
        <w:br/>
        <w:t>Rafael Norman M. Morales reviews all requests for alignment with organizational goals, budget availability, and strategic fit. Approved requests are signed off by Gabriel R. Singson, CEO, ODVI.</w:t>
        <w:br/>
        <w:t/>
        <w:br/>
        <w:t>3.3 Cost Allocation</w:t>
        <w:br/>
        <w:t/>
        <w:br/>
        <w:t>After approval, the request is forwarded to the BU head or designated costing officer for budget allocation and charge code assignment.</w:t>
        <w:br/>
        <w:t/>
        <w:br/>
        <w:t>3.4 Tool Recommendations</w:t>
        <w:br/>
        <w:t/>
        <w:br/>
        <w:t>Departments may consult with DTT or Morales for tool recommendations. The default general-purpose recommendation is Claude Code, a cost-effective AI assistant supporting document writing, coding, analysis, and workflow automation.</w:t>
        <w:br/>
        <w:t/>
        <w:br/>
        <w:t>4.0 Roles and Responsibilities</w:t>
        <w:br/>
        <w:t/>
        <w:br/>
        <w:t>Departments are responsible for acquiring and managing their own AI subscriptions and demonstrating ROI from AI tooling.</w:t>
        <w:br/>
        <w:t/>
        <w:br/>
        <w:t>Rafael Norman M. Morales is responsible for reviewing AI tool requests for organizational alignment, budget availability, and strategic fit.</w:t>
        <w:br/>
        <w:t/>
        <w:br/>
        <w:t>Gabriel R. Singson, CEO, ODVI, is responsible for signing off approved requests.</w:t>
        <w:br/>
        <w:t/>
        <w:br/>
        <w:t>BU heads or designated costing officers are responsible for budget allocation and charge code assignment after approval.</w:t>
        <w:br/>
        <w:t/>
        <w:br/>
        <w:t>5.0 Compliance and Accountability</w:t>
        <w:br/>
        <w:t/>
        <w:br/>
        <w:t>Departments must:</w:t>
        <w:br/>
        <w:t/>
        <w:br/>
        <w:t>• Maintain a record of all AI tools and subscriptions in use.</w:t>
        <w:br/>
        <w:t>• Report outputs and progress as required by leadership.</w:t>
        <w:br/>
        <w:t>• Comply with data privacy and security policies when using AI tools.</w:t>
        <w:br/>
        <w:t>• Ensure authorized team members complete required onboarding and training.</w:t>
        <w:br/>
        <w:t/>
        <w:br/>
        <w:t>Departments are expected to demonstrate ROI from AI tooling. Acceptable ROI metrics include:</w:t>
        <w:br/>
        <w:t/>
        <w:br/>
        <w:t>• Time saved on manual processes.</w:t>
        <w:br/>
        <w:t>• Errors reduced or eliminated.</w:t>
        <w:br/>
        <w:t>• Manual steps automated.</w:t>
        <w:br/>
        <w:t>• Workflows made more efficient.</w:t>
        <w:br/>
        <w:t>• Applications, tools, or systems built.</w:t>
        <w:br/>
        <w:t/>
        <w:br/>
        <w:t>During the learning stage, exploration, experimentation, and demonstrated effort also count as progress. Teams showing consistent learning and genuine effort are considered on track, even if hard ROI metrics are not yet fully realized.</w:t>
        <w:br/>
        <w:t/>
        <w:br/>
        <w:t>Failure to comply with this policy may result in:</w:t>
        <w:br/>
        <w:t/>
        <w:br/>
        <w:t>• Suspension of AI tooling budget.</w:t>
        <w:br/>
        <w:t>• Requirement to resubmit all active subscriptions for review.</w:t>
        <w:br/>
        <w:t>• Escalation to executive leadership.</w:t>
        <w:br/>
        <w:t/>
        <w:br/>
        <w:t>This policy will be reviewed annually or as needed based on organizational changes, technological developments, or feedback from departments.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tabs>
          <w:tab w:val="left" w:leader="none" w:pos="5039"/>
        </w:tabs>
        <w:spacing w:before="1" w:lineRule="auto"/>
        <w:ind w:left="0" w:right="0" w:firstLine="0"/>
        <w:jc w:val="both"/>
        <w:rPr>
          <w:sz w:val="20"/>
          <w:szCs w:val="20"/>
        </w:rPr>
      </w:pPr>
      <w:r w:rsidDel="00000000" w:rsidR="00000000" w:rsidRPr="00000000">
        <w:rPr>
          <w:sz w:val="20"/>
          <w:szCs w:val="20"/>
          <w:rtl w:val="0"/>
        </w:rPr>
        <w:t xml:space="preserve">Prepared by:</w:t>
        <w:tab/>
        <w:t xml:space="preserve">Approved by: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tabs>
          <w:tab w:val="left" w:leader="none" w:pos="5039"/>
        </w:tabs>
        <w:spacing w:before="0" w:lineRule="auto"/>
        <w:ind w:left="0" w:right="0" w:firstLine="0"/>
        <w:jc w:val="both"/>
        <w:rPr>
          <w:b w:val="1"/>
          <w:bCs w:val="1"/>
          <w:sz w:val="20"/>
          <w:szCs w:val="20"/>
        </w:rPr>
      </w:pPr>
      <w:r w:rsidDel="00000000" w:rsidR="00000000" w:rsidRPr="00000000">
        <w:rPr>
          <w:b w:val="1"/>
          <w:bCs w:val="1"/>
          <w:sz w:val="20"/>
          <w:szCs w:val="20"/>
          <w:rtl w:val="0"/>
        </w:rPr>
        <w:t xml:space="preserve">Rafael Norman M. Morales</w:t>
        <w:tab/>
        <w:t xml:space="preserve">Gabriel R. Singson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4088445</wp:posOffset>
                </wp:positionH>
                <wp:positionV relativeFrom="paragraph">
                  <wp:posOffset>-102010</wp:posOffset>
                </wp:positionV>
                <wp:extent cx="803275" cy="142956"/>
                <wp:effectExtent b="0" l="0" r="0" t="0"/>
                <wp:wrapNone/>
                <wp:docPr id="1" name=""/>
                <a:graphic>
                  <a:graphicData uri="http://schemas.microsoft.com/office/word/2010/wordprocessingShape">
                    <wps:wsp>
                      <wps:cNvSpPr/>
                      <wps:cNvPr id="2" name="Shape 2"/>
                      <wps:spPr>
                        <a:xfrm>
                          <a:off x="4949125" y="3687300"/>
                          <a:ext cx="1108800" cy="185400"/>
                        </a:xfrm>
                        <a:prstGeom prst="rect">
                          <a:avLst/>
                        </a:prstGeom>
                        <a:noFill/>
                        <a:ln>
                          <a:noFill/>
                        </a:ln>
                      </wps:spPr>
                      <wps:txbx>
                        <w:txbxContent>
                          <w:p w:rsidR="00000000" w:rsidDel="00000000" w:rsidP="00000000" w:rsidRDefault="00000000" w:rsidRPr="00000000">
                            <w:pPr>
                              <w:spacing w:after="0" w:before="18.99999976158142" w:line="240"/>
                              <w:ind w:left="50" w:right="0" w:firstLine="5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May 15, 2026</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4088445</wp:posOffset>
                </wp:positionH>
                <wp:positionV relativeFrom="paragraph">
                  <wp:posOffset>-102010</wp:posOffset>
                </wp:positionV>
                <wp:extent cx="803275" cy="142956"/>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803275" cy="142956"/>
                        </a:xfrm>
                        <a:prstGeom prst="rect"/>
                        <a:ln/>
                      </pic:spPr>
                    </pic:pic>
                  </a:graphicData>
                </a:graphic>
              </wp:anchor>
            </w:drawing>
          </mc:Fallback>
        </mc:AlternateContent>
      </w:r>
    </w:p>
    <w:p w:rsidR="00000000" w:rsidDel="00000000" w:rsidP="00000000" w:rsidRDefault="00000000" w:rsidRPr="00000000" w14:paraId="0000000B">
      <w:pPr>
        <w:tabs>
          <w:tab w:val="left" w:leader="none" w:pos="5039"/>
        </w:tabs>
        <w:spacing w:before="36" w:lineRule="auto"/>
        <w:ind w:left="0" w:right="0" w:firstLine="0"/>
        <w:jc w:val="both"/>
        <w:rPr>
          <w:sz w:val="20"/>
          <w:szCs w:val="20"/>
        </w:rPr>
      </w:pPr>
      <w:r w:rsidDel="00000000" w:rsidR="00000000" w:rsidRPr="00000000">
        <w:rPr>
          <w:sz w:val="20"/>
          <w:szCs w:val="20"/>
          <w:rtl w:val="0"/>
        </w:rPr>
        <w:t xml:space="preserve">Policy Owner, Digital Transformation &amp; AI</w:t>
        <w:tab/>
        <w:t xml:space="preserve">CEO, ODVI</w:t>
      </w:r>
    </w:p>
    <w:sectPr>
      <w:headerReference r:id="rId7" w:type="default"/>
      <w:pgSz w:h="15840" w:w="12240" w:orient="portrait"/>
      <w:pgMar w:bottom="280" w:top="2260" w:left="720" w:right="720" w:header="48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6286500</wp:posOffset>
          </wp:positionH>
          <wp:positionV relativeFrom="page">
            <wp:posOffset>304800</wp:posOffset>
          </wp:positionV>
          <wp:extent cx="1028700" cy="102870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8700" cy="1028700"/>
                  </a:xfrm>
                  <a:prstGeom prst="rect"/>
                  <a:ln/>
                </pic:spPr>
              </pic:pic>
            </a:graphicData>
          </a:graphic>
        </wp:anchor>
      </w:drawing>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476250</wp:posOffset>
              </wp:positionH>
              <wp:positionV relativeFrom="page">
                <wp:posOffset>1407344</wp:posOffset>
              </wp:positionV>
              <wp:extent cx="6867525" cy="28575"/>
              <wp:effectExtent b="0" l="0" r="0" t="0"/>
              <wp:wrapNone/>
              <wp:docPr id="2" name=""/>
              <a:graphic>
                <a:graphicData uri="http://schemas.microsoft.com/office/word/2010/wordprocessingShape">
                  <wps:wsp>
                    <wps:cNvSpPr/>
                    <wps:cNvPr id="3" name="Shape 3"/>
                    <wps:spPr>
                      <a:xfrm>
                        <a:off x="1912238" y="3779365"/>
                        <a:ext cx="6867525" cy="1270"/>
                      </a:xfrm>
                      <a:custGeom>
                        <a:rect b="b" l="l" r="r" t="t"/>
                        <a:pathLst>
                          <a:path extrusionOk="0" h="120000" w="6867525">
                            <a:moveTo>
                              <a:pt x="0" y="0"/>
                            </a:moveTo>
                            <a:lnTo>
                              <a:pt x="6867525" y="0"/>
                            </a:lnTo>
                          </a:path>
                        </a:pathLst>
                      </a:cu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476250</wp:posOffset>
              </wp:positionH>
              <wp:positionV relativeFrom="page">
                <wp:posOffset>1407344</wp:posOffset>
              </wp:positionV>
              <wp:extent cx="6867525" cy="28575"/>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867525" cy="28575"/>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439738</wp:posOffset>
              </wp:positionH>
              <wp:positionV relativeFrom="page">
                <wp:posOffset>439738</wp:posOffset>
              </wp:positionV>
              <wp:extent cx="2465070" cy="827623"/>
              <wp:effectExtent b="0" l="0" r="0" t="0"/>
              <wp:wrapNone/>
              <wp:docPr id="3" name=""/>
              <a:graphic>
                <a:graphicData uri="http://schemas.microsoft.com/office/word/2010/wordprocessingShape">
                  <wps:wsp>
                    <wps:cNvSpPr/>
                    <wps:cNvPr id="4" name="Shape 4"/>
                    <wps:spPr>
                      <a:xfrm>
                        <a:off x="4118225" y="3345650"/>
                        <a:ext cx="2621100" cy="868800"/>
                      </a:xfrm>
                      <a:prstGeom prst="rect">
                        <a:avLst/>
                      </a:prstGeom>
                      <a:noFill/>
                      <a:ln>
                        <a:noFill/>
                      </a:ln>
                    </wps:spPr>
                    <wps:txbx>
                      <w:txbxContent>
                        <w:p w:rsidR="00000000" w:rsidDel="00000000" w:rsidP="00000000" w:rsidRDefault="00000000" w:rsidRPr="00000000">
                          <w:pPr>
                            <w:spacing w:after="0" w:before="20" w:line="240"/>
                            <w:ind w:left="20" w:right="0" w:firstLine="20"/>
                            <w:jc w:val="left"/>
                            <w:textDirection w:val="btLr"/>
                          </w:pPr>
                          <w:r w:rsidDel="00000000" w:rsidR="00000000" w:rsidRPr="00000000">
                            <w:rPr>
                              <w:rFonts w:ascii="Tahoma" w:cs="Tahoma" w:eastAsia="Tahoma" w:hAnsi="Tahoma"/>
                              <w:b w:val="0"/>
                              <w:i w:val="0"/>
                              <w:smallCaps w:val="0"/>
                              <w:strike w:val="0"/>
                              <w:color w:val="000000"/>
                              <w:sz w:val="22"/>
                              <w:vertAlign w:val="baseline"/>
                            </w:rPr>
                            <w:t xml:space="preserve">Policy Title: </w:t>
                          </w:r>
                          <w:r w:rsidDel="00000000" w:rsidR="00000000" w:rsidRPr="00000000">
                            <w:rPr>
                              <w:rFonts w:ascii="Tahoma" w:cs="Tahoma" w:eastAsia="Tahoma" w:hAnsi="Tahoma"/>
                              <w:b w:val="1"/>
                              <w:i w:val="0"/>
                              <w:smallCaps w:val="0"/>
                              <w:strike w:val="0"/>
                              <w:color w:val="000000"/>
                              <w:sz w:val="22"/>
                              <w:vertAlign w:val="baseline"/>
                            </w:rPr>
                            <w:t xml:space="preserve">AI Tooling &amp; Budget Policy</w:t>
                          </w:r>
                        </w:p>
                        <w:p w:rsidR="00000000" w:rsidDel="00000000" w:rsidP="00000000" w:rsidRDefault="00000000" w:rsidRPr="00000000">
                          <w:pPr>
                            <w:spacing w:after="0" w:before="0" w:line="240"/>
                            <w:ind w:left="20" w:right="0" w:firstLine="0"/>
                            <w:jc w:val="left"/>
                            <w:textDirection w:val="btLr"/>
                          </w:pPr>
                          <w:r w:rsidDel="00000000" w:rsidR="00000000" w:rsidRPr="00000000">
                            <w:rPr>
                              <w:rFonts w:ascii="Tahoma" w:cs="Tahoma" w:eastAsia="Tahoma" w:hAnsi="Tahoma"/>
                              <w:b w:val="1"/>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2"/>
                              <w:vertAlign w:val="baseline"/>
                            </w:rPr>
                            <w:t xml:space="preserve">Policy Number: 005</w:t>
                          </w:r>
                        </w:p>
                        <w:p w:rsidR="00000000" w:rsidDel="00000000" w:rsidP="00000000" w:rsidRDefault="00000000" w:rsidRPr="00000000">
                          <w:pPr>
                            <w:spacing w:after="0" w:before="0" w:line="240"/>
                            <w:ind w:left="20" w:right="0" w:firstLine="0"/>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2"/>
                              <w:vertAlign w:val="baseline"/>
                            </w:rPr>
                            <w:t xml:space="preserve">Issuing Department: Digital Transformation &amp; AI</w:t>
                          </w:r>
                        </w:p>
                        <w:p w:rsidR="00000000" w:rsidDel="00000000" w:rsidP="00000000" w:rsidRDefault="00000000" w:rsidRPr="00000000">
                          <w:pPr>
                            <w:spacing w:after="0" w:before="0" w:line="240"/>
                            <w:ind w:left="20" w:right="0" w:firstLine="0"/>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2"/>
                              <w:vertAlign w:val="baseline"/>
                            </w:rPr>
                            <w:t xml:space="preserve">Supersedes: This policy supersedes all previous informal guidance on AI tooling and budget.</w:t>
                          </w:r>
                        </w:p>
                        <w:p w:rsidR="00000000" w:rsidDel="00000000" w:rsidP="00000000" w:rsidRDefault="00000000" w:rsidRPr="00000000">
                          <w:pPr>
                            <w:spacing w:after="0" w:before="0" w:line="240"/>
                            <w:ind w:left="20" w:right="0" w:firstLine="0"/>
                            <w:jc w:val="left"/>
                            <w:textDirection w:val="btLr"/>
                          </w:pPr>
                          <w:r w:rsidDel="00000000" w:rsidR="00000000" w:rsidRPr="00000000">
                            <w:rPr>
                              <w:rFonts w:ascii="Tahoma" w:cs="Tahoma" w:eastAsia="Tahoma" w:hAnsi="Tahoma"/>
                              <w:b w:val="0"/>
                              <w:i w:val="0"/>
                              <w:smallCaps w:val="0"/>
                              <w:strike w:val="0"/>
                              <w:color w:val="000000"/>
                              <w:sz w:val="22"/>
                              <w:vertAlign w:val="baseline"/>
                            </w:rPr>
                          </w:r>
                          <w:r w:rsidDel="00000000" w:rsidR="00000000" w:rsidRPr="00000000">
                            <w:rPr>
                              <w:rFonts w:ascii="Tahoma" w:cs="Tahoma" w:eastAsia="Tahoma" w:hAnsi="Tahoma"/>
                              <w:b w:val="0"/>
                              <w:i w:val="0"/>
                              <w:smallCaps w:val="0"/>
                              <w:strike w:val="0"/>
                              <w:color w:val="000000"/>
                              <w:sz w:val="22"/>
                              <w:vertAlign w:val="baseline"/>
                            </w:rPr>
                            <w:t xml:space="preserve">Effective Date: May 15, 2026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439738</wp:posOffset>
              </wp:positionH>
              <wp:positionV relativeFrom="page">
                <wp:posOffset>439738</wp:posOffset>
              </wp:positionV>
              <wp:extent cx="2465070" cy="827623"/>
              <wp:effectExtent b="0" l="0" r="0" t="0"/>
              <wp:wrapNone/>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465070" cy="827623"/>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10" w:hanging="410"/>
    </w:pPr>
    <w:rPr>
      <w:rFonts w:ascii="Tahoma" w:cs="Tahoma" w:eastAsia="Tahoma" w:hAnsi="Tahoma"/>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2026-04-30T00:00:00Z</vt:lpwstr>
  </property>
  <property fmtid="{D5CDD505-2E9C-101B-9397-08002B2CF9AE}" pid="3" name="LastSaved">
    <vt:lpwstr>2026-05-21T00:00:00Z</vt:lpwstr>
  </property>
  <property fmtid="{D5CDD505-2E9C-101B-9397-08002B2CF9AE}" pid="4" name="Producer">
    <vt:lpwstr>macOS Version 15.6.1 (Build 24G90) Quartz PDFContext</vt:lpwstr>
  </property>
</Properties>
</file>