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dfc00faccd06db23cf854299ea06f3c15b2b8f2"/>
    <w:p>
      <w:pPr>
        <w:pStyle w:val="Heading1"/>
      </w:pPr>
      <w:r>
        <w:t xml:space="preserve">MacroDR: A White Paper on Proof-Oriented Inference Engines for Scientific Modeling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MacroDR is a next-generation scientific inference engine for biophysical modeling, built on the principle that</w:t>
      </w:r>
      <w:r>
        <w:t xml:space="preserve"> </w:t>
      </w:r>
      <w:r>
        <w:rPr>
          <w:b/>
          <w:bCs/>
        </w:rPr>
        <w:t xml:space="preserve">software is a mathematical instrument</w:t>
      </w:r>
      <w:r>
        <w:t xml:space="preserve">. It unifies rigorous proof-oriented design, domain-specific language (DSL) semantics, modular architecture, and provenance-aware reproducibility into a system capable of both immediate research applications and long-term theoretical contributions. This white paper outlines the</w:t>
      </w:r>
      <w:r>
        <w:t xml:space="preserve"> </w:t>
      </w:r>
      <w:r>
        <w:rPr>
          <w:b/>
          <w:bCs/>
        </w:rPr>
        <w:t xml:space="preserve">vision</w:t>
      </w:r>
      <w:r>
        <w:t xml:space="preserve">, the</w:t>
      </w:r>
      <w:r>
        <w:t xml:space="preserve"> </w:t>
      </w:r>
      <w:r>
        <w:rPr>
          <w:b/>
          <w:bCs/>
        </w:rPr>
        <w:t xml:space="preserve">conceptual foundations</w:t>
      </w:r>
      <w:r>
        <w:t xml:space="preserve">, the</w:t>
      </w:r>
      <w:r>
        <w:t xml:space="preserve"> </w:t>
      </w:r>
      <w:r>
        <w:rPr>
          <w:b/>
          <w:bCs/>
        </w:rPr>
        <w:t xml:space="preserve">technical realization</w:t>
      </w:r>
      <w:r>
        <w:t xml:space="preserve">, and the</w:t>
      </w:r>
      <w:r>
        <w:t xml:space="preserve"> </w:t>
      </w:r>
      <w:r>
        <w:rPr>
          <w:b/>
          <w:bCs/>
        </w:rPr>
        <w:t xml:space="preserve">research roadmap</w:t>
      </w:r>
      <w:r>
        <w:t xml:space="preserve"> </w:t>
      </w:r>
      <w:r>
        <w:t xml:space="preserve">for MacroDR.</w:t>
      </w:r>
    </w:p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The central motivation behind MacroDR is to bridge the gap between</w:t>
      </w:r>
      <w:r>
        <w:t xml:space="preserve"> </w:t>
      </w:r>
      <w:r>
        <w:rPr>
          <w:b/>
          <w:bCs/>
        </w:rPr>
        <w:t xml:space="preserve">scientific aspiration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software engineering discipline</w:t>
      </w:r>
      <w:r>
        <w:t xml:space="preserve">. Traditional scientific software often accumulates technical debt, ad hoc algorithms, and opaque data handling. MacroDR instead aspires to be a</w:t>
      </w:r>
      <w:r>
        <w:t xml:space="preserve"> </w:t>
      </w:r>
      <w:r>
        <w:rPr>
          <w:i/>
          <w:iCs/>
        </w:rPr>
        <w:t xml:space="preserve">living demonstration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Proof-Oriented Design (POD)</w:t>
      </w:r>
      <w:r>
        <w:t xml:space="preserve">, where each program element embodies a guarantee, and the system’s coherence is its meaning【62†source】.</w:t>
      </w:r>
    </w:p>
    <w:p>
      <w:pPr>
        <w:pStyle w:val="BodyText"/>
      </w:pPr>
      <w:r>
        <w:t xml:space="preserve">The research context is ion channel kinetics and Bayesian model evidence. However, MacroDR is designed generically: any stochastic model inference task can benefit from its DSL, safety kernel, and modular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vision"/>
    <w:p>
      <w:pPr>
        <w:pStyle w:val="Heading2"/>
      </w:pPr>
      <w:r>
        <w:t xml:space="preserve">2. Vision</w:t>
      </w:r>
    </w:p>
    <w:p>
      <w:pPr>
        <w:pStyle w:val="FirstParagraph"/>
      </w:pPr>
      <w:r>
        <w:t xml:space="preserve">MacroDR’s vision can be distilled into four guiding principles: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Correctness by Construction</w:t>
      </w:r>
      <w:r>
        <w:br/>
      </w:r>
      <w:r>
        <w:t xml:space="preserve">Every construct encodes its invariants. A Q-matrix is not just a matrix; it is guaranteed nonnegative off-diagonals and row sums to zero【61†source】.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Transparency and Reproducibility</w:t>
      </w:r>
      <w:r>
        <w:br/>
      </w:r>
      <w:r>
        <w:t xml:space="preserve">Provenance is tracked as a first-class property. Every simulation, parameter set, or evidence run can be traced to its origin, seed, or measurement【67†source】.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Extendability without Fragility</w:t>
      </w:r>
      <w:r>
        <w:br/>
      </w:r>
      <w:r>
        <w:t xml:space="preserve">New commands, models, or algorithms can be added without touching central registries. Invariance is enforced locally, contagiously, without brittle boilerplate【90†source】【91†source】.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Dual-Track Development</w:t>
      </w:r>
      <w:r>
        <w:br/>
      </w:r>
      <w:r>
        <w:t xml:space="preserve">Immediate cluster jobs continue to run with the legacy system, while the refactored MacroDR evolves with clean modularity and CI-driven guarantees【66†source】.</w:t>
      </w:r>
    </w:p>
    <w:p>
      <w:r>
        <w:pict>
          <v:rect style="width:0;height:1.5pt" o:hralign="center" o:hrstd="t" o:hr="t"/>
        </w:pict>
      </w:r>
    </w:p>
    <w:bookmarkEnd w:id="22"/>
    <w:bookmarkStart w:id="28" w:name="conceptual-foundations"/>
    <w:p>
      <w:pPr>
        <w:pStyle w:val="Heading2"/>
      </w:pPr>
      <w:r>
        <w:t xml:space="preserve">3. Conceptual Foundations</w:t>
      </w:r>
    </w:p>
    <w:bookmarkStart w:id="23" w:name="X6cf3e435a584fb07195e730ba0fa9e0e448bdbc"/>
    <w:p>
      <w:pPr>
        <w:pStyle w:val="Heading3"/>
      </w:pPr>
      <w:r>
        <w:t xml:space="preserve">3.1 Proof-Oriented and Contagiously Safe Design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Types as Proofs</w:t>
      </w:r>
      <w:r>
        <w:t xml:space="preserve">: Constructing an object is equivalent to proving its invariants. A</w:t>
      </w:r>
      <w:r>
        <w:t xml:space="preserve"> </w:t>
      </w:r>
      <w:r>
        <w:rPr>
          <w:rStyle w:val="VerbatimChar"/>
        </w:rPr>
        <w:t xml:space="preserve">ScientificSafe&lt;Q&gt;</w:t>
      </w:r>
      <w:r>
        <w:t xml:space="preserve"> </w:t>
      </w:r>
      <w:r>
        <w:t xml:space="preserve">is a proof that Q satisfies stochastic properties【61†source】.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Contagion Principle</w:t>
      </w:r>
      <w:r>
        <w:t xml:space="preserve">: Once established, invariants propagate downstream unless explicitly escaped【62†source】.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Composite Domains</w:t>
      </w:r>
      <w:r>
        <w:t xml:space="preserve">: To avoid exponential growth of wrapper types, multiple invariants are bundled into composite safety domains【61†source】.</w:t>
      </w:r>
    </w:p>
    <w:bookmarkEnd w:id="23"/>
    <w:bookmarkStart w:id="24" w:name="hottification"/>
    <w:p>
      <w:pPr>
        <w:pStyle w:val="Heading3"/>
      </w:pPr>
      <w:r>
        <w:t xml:space="preserve">3.2 HoTTification</w:t>
      </w:r>
    </w:p>
    <w:p>
      <w:pPr>
        <w:pStyle w:val="FirstParagraph"/>
      </w:pPr>
      <w:r>
        <w:t xml:space="preserve">Inspired by Homotopy Type Theory (HoTT), MacroDR treats</w:t>
      </w:r>
      <w:r>
        <w:t xml:space="preserve"> </w:t>
      </w:r>
      <w:r>
        <w:rPr>
          <w:b/>
          <w:bCs/>
        </w:rPr>
        <w:t xml:space="preserve">types as propositions</w:t>
      </w:r>
      <w:r>
        <w:t xml:space="preserve">. For example:</w:t>
      </w:r>
    </w:p>
    <w:p>
      <w:pPr>
        <w:pStyle w:val="SourceCode"/>
      </w:pPr>
      <w:r>
        <w:rPr>
          <w:rStyle w:val="VerbatimChar"/>
        </w:rPr>
        <w:t xml:space="preserve">Current(Instrument=i, Time=t, Channel=c) : Type</w:t>
      </w:r>
      <w:r>
        <w:br/>
      </w:r>
      <w:r>
        <w:rPr>
          <w:rStyle w:val="VerbatimChar"/>
        </w:rPr>
        <w:t xml:space="preserve">4pA : Current(i=Rigol123, t=2025-09-20T19:45, c=3)</w:t>
      </w:r>
    </w:p>
    <w:p>
      <w:pPr>
        <w:pStyle w:val="FirstParagraph"/>
      </w:pPr>
      <w:r>
        <w:t xml:space="preserve">Here the</w:t>
      </w:r>
      <w:r>
        <w:t xml:space="preserve"> </w:t>
      </w:r>
      <w:r>
        <w:rPr>
          <w:i/>
          <w:iCs/>
        </w:rPr>
        <w:t xml:space="preserve">proposition</w:t>
      </w:r>
      <w:r>
        <w:t xml:space="preserve"> </w:t>
      </w:r>
      <w:r>
        <w:t xml:space="preserve">is not just</w:t>
      </w:r>
      <w:r>
        <w:t xml:space="preserve"> </w:t>
      </w:r>
      <w:r>
        <w:t xml:space="preserve">“4 picoamperes”</w:t>
      </w:r>
      <w:r>
        <w:t xml:space="preserve"> </w:t>
      </w:r>
      <w:r>
        <w:t xml:space="preserve">but</w:t>
      </w:r>
      <w:r>
        <w:t xml:space="preserve"> </w:t>
      </w:r>
      <w:r>
        <w:t xml:space="preserve">“4 picoamperes measured on channel 3, instrument Rigol123, at time t0, with calibration Y.”</w:t>
      </w:r>
      <w:r>
        <w:t xml:space="preserve"> </w:t>
      </w:r>
      <w:r>
        <w:t xml:space="preserve">Provenance becomes part of the type【67†source】.</w:t>
      </w:r>
    </w:p>
    <w:bookmarkEnd w:id="24"/>
    <w:bookmarkStart w:id="25" w:name="algebraic-cli"/>
    <w:p>
      <w:pPr>
        <w:pStyle w:val="Heading3"/>
      </w:pPr>
      <w:r>
        <w:t xml:space="preserve">3.3 Algebraic CLI</w:t>
      </w:r>
    </w:p>
    <w:p>
      <w:pPr>
        <w:pStyle w:val="FirstParagraph"/>
      </w:pPr>
      <w:r>
        <w:t xml:space="preserve">Commands are not arbitrary; they form algebraic structures. Running</w:t>
      </w:r>
      <w:r>
        <w:t xml:space="preserve"> </w:t>
      </w:r>
      <w:r>
        <w:rPr>
          <w:rStyle w:val="VerbatimChar"/>
        </w:rPr>
        <w:t xml:space="preserve">simulate</w:t>
      </w:r>
      <w:r>
        <w:t xml:space="preserve"> </w:t>
      </w:r>
      <w:r>
        <w:t xml:space="preserve">followed by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and verifying with</w:t>
      </w:r>
      <w:r>
        <w:t xml:space="preserve"> </w:t>
      </w:r>
      <w:r>
        <w:rPr>
          <w:rStyle w:val="VerbatimChar"/>
        </w:rPr>
        <w:t xml:space="preserve">sav-check</w:t>
      </w:r>
      <w:r>
        <w:t xml:space="preserve"> </w:t>
      </w:r>
      <w:r>
        <w:t xml:space="preserve">corresponds to an approximate identity:</w:t>
      </w:r>
    </w:p>
    <w:p>
      <w:pPr>
        <w:pStyle w:val="SourceCode"/>
      </w:pPr>
      <w:r>
        <w:rPr>
          <w:rStyle w:val="VerbatimChar"/>
        </w:rPr>
        <w:t xml:space="preserve">infer(simulate(θ)) ≈ θ</w:t>
      </w:r>
    </w:p>
    <w:p>
      <w:pPr>
        <w:pStyle w:val="FirstParagraph"/>
      </w:pPr>
      <w:r>
        <w:t xml:space="preserve">This elevates the CLI into a mathematical contract【62†source】.</w:t>
      </w:r>
    </w:p>
    <w:bookmarkEnd w:id="25"/>
    <w:bookmarkStart w:id="26" w:name="lingua-franca-and-boundary-contracts"/>
    <w:p>
      <w:pPr>
        <w:pStyle w:val="Heading3"/>
      </w:pPr>
      <w:r>
        <w:t xml:space="preserve">3.4 Lingua Franca and Boundary Contracts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Canonical Data Model</w:t>
      </w:r>
      <w:r>
        <w:t xml:space="preserve">: JSON-like value tree at boundaries, enriched by schemas【112†source】.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Contracts</w:t>
      </w:r>
      <w:r>
        <w:t xml:space="preserve">: pre/postconditions checked at CMD surfaces; violations return</w:t>
      </w:r>
      <w:r>
        <w:t xml:space="preserve"> </w:t>
      </w:r>
      <w:r>
        <w:rPr>
          <w:rStyle w:val="VerbatimChar"/>
        </w:rPr>
        <w:t xml:space="preserve">Maybe_error</w:t>
      </w:r>
      <w:r>
        <w:t xml:space="preserve"> </w:t>
      </w:r>
      <w:r>
        <w:t xml:space="preserve">instead of propagating silently【111†source】.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Vector View</w:t>
      </w:r>
      <w:r>
        <w:t xml:space="preserve">: optional numeric projection ensures hot loops remain efficient【112†source】.</w:t>
      </w:r>
    </w:p>
    <w:bookmarkEnd w:id="26"/>
    <w:bookmarkStart w:id="27" w:name="provenance-as-first-class"/>
    <w:p>
      <w:pPr>
        <w:pStyle w:val="Heading3"/>
      </w:pPr>
      <w:r>
        <w:t xml:space="preserve">3.5 Provenance as First-Class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Writer Monad Semantics</w:t>
      </w:r>
      <w:r>
        <w:t xml:space="preserve">: functions remain pure, provenance accumulates externally【67†source】.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Compression Strategies</w:t>
      </w:r>
      <w:r>
        <w:t xml:space="preserve">: retain provenance at the level of human decisions (model choice, parameters, seeds) rather than raw multiplications【67†source】.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Experiment Layers</w:t>
      </w:r>
      <w:r>
        <w:t xml:space="preserve">: Protocol + Recording = Experiment; transformations yield TExperiment; provenance-preserving views (TExperimentView) allow multiple post-processed perspectives【89†source】.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technical-realization"/>
    <w:p>
      <w:pPr>
        <w:pStyle w:val="Heading2"/>
      </w:pPr>
      <w:r>
        <w:t xml:space="preserve">4. Technical Realization</w:t>
      </w:r>
    </w:p>
    <w:bookmarkStart w:id="29" w:name="architecture-modules"/>
    <w:p>
      <w:pPr>
        <w:pStyle w:val="Heading3"/>
      </w:pPr>
      <w:r>
        <w:t xml:space="preserve">4.1 Architecture &amp; Modules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DSL</w:t>
      </w:r>
      <w:r>
        <w:t xml:space="preserve">: Parser, AST, registry; no domain logic【109†source】.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</w:t>
      </w:r>
      <w:r>
        <w:t xml:space="preserve">: Thin entrypoint; orchestrates script ingestion【69†source】.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CMD</w:t>
      </w:r>
      <w:r>
        <w:t xml:space="preserve">: Command surface with arguments, pre/postconditions, orchestration【111†source】.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Core</w:t>
      </w:r>
      <w:r>
        <w:t xml:space="preserve">: Implementations behind CMD; orchestrates Models, Inference, IO, Math【112†source】.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Domain Entities</w:t>
      </w:r>
      <w:r>
        <w:t xml:space="preserve">: Canonical types (Experiment, Recording, Parameters)【89†source】.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IO</w:t>
      </w:r>
      <w:r>
        <w:t xml:space="preserve">: JSON/CSV serialization, schema validation【112†source】.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Models/Inference/Probability/Math</w:t>
      </w:r>
      <w:r>
        <w:t xml:space="preserve">: Deterministic forward simulation, Bayesian likelihood, MCMC, linear algebra, distributions【112†source】.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Utils</w:t>
      </w:r>
      <w:r>
        <w:t xml:space="preserve">: Error handling (</w:t>
      </w:r>
      <w:r>
        <w:rPr>
          <w:rStyle w:val="VerbatimChar"/>
        </w:rPr>
        <w:t xml:space="preserve">Maybe_error</w:t>
      </w:r>
      <w:r>
        <w:t xml:space="preserve">), metaprogramming, memoization【112†source】.</w:t>
      </w:r>
    </w:p>
    <w:bookmarkEnd w:id="29"/>
    <w:bookmarkStart w:id="30" w:name="runtime-type-system"/>
    <w:p>
      <w:pPr>
        <w:pStyle w:val="Heading3"/>
      </w:pPr>
      <w:r>
        <w:t xml:space="preserve">4.2 Runtime &amp; Type System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Grammar</w:t>
      </w:r>
      <w:r>
        <w:t xml:space="preserve">: assignments, function calls, literals【92†source】.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Type Deduction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compile_expression</w:t>
      </w:r>
      <w:r>
        <w:t xml:space="preserve"> </w:t>
      </w:r>
      <w:r>
        <w:t xml:space="preserve">maps untyped to typed (double, string, identifiers, function calls)【110†source】.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Runtime Rules</w:t>
      </w:r>
      <w:r>
        <w:t xml:space="preserve">: Execution via</w:t>
      </w:r>
      <w:r>
        <w:t xml:space="preserve"> </w:t>
      </w:r>
      <w:r>
        <w:rPr>
          <w:rStyle w:val="VerbatimChar"/>
        </w:rPr>
        <w:t xml:space="preserve">typed_expression::run</w:t>
      </w:r>
      <w:r>
        <w:t xml:space="preserve">, assignment binding in</w:t>
      </w:r>
      <w:r>
        <w:t xml:space="preserve"> </w:t>
      </w:r>
      <w:r>
        <w:rPr>
          <w:rStyle w:val="VerbatimChar"/>
        </w:rPr>
        <w:t xml:space="preserve">Environment</w:t>
      </w:r>
      <w:r>
        <w:t xml:space="preserve">【93†source】.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Dispatch</w:t>
      </w:r>
      <w:r>
        <w:t xml:space="preserve">: dynamic_cast for AST downcasts, postponed visitor pattern【90†source】.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Ownership</w:t>
      </w:r>
      <w:r>
        <w:t xml:space="preserve">: unique_ptr for IR nodes, NodePtr borrow deferred【91†source】.</w:t>
      </w:r>
    </w:p>
    <w:bookmarkEnd w:id="30"/>
    <w:bookmarkStart w:id="31" w:name="cli-dsl-functions"/>
    <w:p>
      <w:pPr>
        <w:pStyle w:val="Heading3"/>
      </w:pPr>
      <w:r>
        <w:t xml:space="preserve">4.3 CLI &amp; DSL Functions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 Verbs</w:t>
      </w:r>
      <w:r>
        <w:t xml:space="preserve">:</w:t>
      </w:r>
      <w:r>
        <w:t xml:space="preserve"> </w:t>
      </w:r>
      <w:r>
        <w:rPr>
          <w:rStyle w:val="VerbatimChar"/>
        </w:rPr>
        <w:t xml:space="preserve">run</w:t>
      </w:r>
      <w:r>
        <w:t xml:space="preserve">,</w:t>
      </w:r>
      <w:r>
        <w:t xml:space="preserve"> </w:t>
      </w:r>
      <w:r>
        <w:rPr>
          <w:rStyle w:val="VerbatimChar"/>
        </w:rPr>
        <w:t xml:space="preserve">eval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help</w:t>
      </w:r>
      <w:r>
        <w:t xml:space="preserve">【88†source】.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DSL Functions</w:t>
      </w:r>
      <w:r>
        <w:t xml:space="preserve">: simulation, likelihood, thermo evidence, experiment loaders, prior construction, utility helpers【94†source】【108†source】.</w:t>
      </w:r>
    </w:p>
    <w:bookmarkEnd w:id="31"/>
    <w:bookmarkStart w:id="32" w:name="testing-ci"/>
    <w:p>
      <w:pPr>
        <w:pStyle w:val="Heading3"/>
      </w:pPr>
      <w:r>
        <w:t xml:space="preserve">4.4 Testing &amp; CI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Unit Tests</w:t>
      </w:r>
      <w:r>
        <w:t xml:space="preserve">: param→Q→param round-trips, expm vs spectral, likelihood finite【93†source】.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Property Tests</w:t>
      </w:r>
      <w:r>
        <w:t xml:space="preserve">: score = 0 in expectation; Cov(score) = FIM【66†source】.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Regression</w:t>
      </w:r>
      <w:r>
        <w:t xml:space="preserve">: DSL regression tests, CLI smoke tests【68†source】.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CI Integration</w:t>
      </w:r>
      <w:r>
        <w:t xml:space="preserve">: build times, template instantiations tracked【68†source】.</w:t>
      </w:r>
    </w:p>
    <w:bookmarkEnd w:id="32"/>
    <w:bookmarkStart w:id="33" w:name="documentation-adrs"/>
    <w:p>
      <w:pPr>
        <w:pStyle w:val="Heading3"/>
      </w:pPr>
      <w:r>
        <w:t xml:space="preserve">4.5 Documentation &amp; ADRs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spec/</w:t>
      </w:r>
      <w:r>
        <w:t xml:space="preserve">: CLI syntax, DSL grammar, type rules, runtime rules【87†source】.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ADR-001</w:t>
      </w:r>
      <w:r>
        <w:t xml:space="preserve">: modules &amp; dependencies【111†source】.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ADR-002</w:t>
      </w:r>
      <w:r>
        <w:t xml:space="preserve">: lingua franca【112†source】.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Dispatch decision</w:t>
      </w:r>
      <w:r>
        <w:t xml:space="preserve">: dynamic_cast【90†source】.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Ownership decision</w:t>
      </w:r>
      <w:r>
        <w:t xml:space="preserve">: unique_ptr【91†source】.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Roadmap</w:t>
      </w:r>
      <w:r>
        <w:t xml:space="preserve">: M0–M5 phases【113†source】.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research-context-and-papers"/>
    <w:p>
      <w:pPr>
        <w:pStyle w:val="Heading2"/>
      </w:pPr>
      <w:r>
        <w:t xml:space="preserve">5. Research Context and Papers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Rotational kinetic models</w:t>
      </w:r>
      <w:r>
        <w:t xml:space="preserve"> </w:t>
      </w:r>
      <w:r>
        <w:t xml:space="preserve">(with Gustavo): extend published work using rotation-coupling【66†source】.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Characterization of MacroDR</w:t>
      </w:r>
      <w:r>
        <w:t xml:space="preserve">: present validation (Simulation, Likelihood, Sampling, Evidence, FIM, Score)【66†source】.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Cumulative evidence</w:t>
      </w:r>
      <w:r>
        <w:t xml:space="preserve">: theoretical and empirical framework for combining datasets【66†source】.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Oocytes + mutants</w:t>
      </w:r>
      <w:r>
        <w:t xml:space="preserve">: macroscopic evidence modeling; mutant perturbations【66†source】.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Future</w:t>
      </w:r>
      <w:r>
        <w:t xml:space="preserve">: receptor CIS-LU collaborations, single-channel idealization【66†source】.</w:t>
      </w:r>
    </w:p>
    <w:p>
      <w:r>
        <w:pict>
          <v:rect style="width:0;height:1.5pt" o:hralign="center" o:hrstd="t" o:hr="t"/>
        </w:pict>
      </w:r>
    </w:p>
    <w:bookmarkEnd w:id="35"/>
    <w:bookmarkStart w:id="36" w:name="roadmap"/>
    <w:p>
      <w:pPr>
        <w:pStyle w:val="Heading2"/>
      </w:pPr>
      <w:r>
        <w:t xml:space="preserve">6. Roadmap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 Registry Consolidation</w:t>
      </w:r>
      <w:r>
        <w:t xml:space="preserve">: commands extracted from CLI into CMD【113†source】.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M2 Core Surfaces</w:t>
      </w:r>
      <w:r>
        <w:t xml:space="preserve">:</w:t>
      </w:r>
      <w:r>
        <w:t xml:space="preserve"> </w:t>
      </w:r>
      <w:r>
        <w:rPr>
          <w:rStyle w:val="VerbatimChar"/>
        </w:rPr>
        <w:t xml:space="preserve">simulate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load_experiment</w:t>
      </w:r>
      <w:r>
        <w:t xml:space="preserve"> </w:t>
      </w:r>
      <w:r>
        <w:t xml:space="preserve">stabilized【113†source】.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M3 Lingua Franca Pilot</w:t>
      </w:r>
      <w:r>
        <w:t xml:space="preserve">: Recording + Experiment JSON schemas【113†source】.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M4 CMD Migration</w:t>
      </w:r>
      <w:r>
        <w:t xml:space="preserve">: likelihood, thermo evidence moved from legacy【113†source】.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M5 Performance</w:t>
      </w:r>
      <w:r>
        <w:t xml:space="preserve">: vectorization, CMake target separation【113†source】.</w:t>
      </w:r>
    </w:p>
    <w:p>
      <w:r>
        <w:pict>
          <v:rect style="width:0;height:1.5pt" o:hralign="center" o:hrstd="t" o:hr="t"/>
        </w:pict>
      </w:r>
    </w:p>
    <w:bookmarkEnd w:id="36"/>
    <w:bookmarkStart w:id="37" w:name="conclusion"/>
    <w:p>
      <w:pPr>
        <w:pStyle w:val="Heading2"/>
      </w:pPr>
      <w:r>
        <w:t xml:space="preserve">7. Conclusion</w:t>
      </w:r>
    </w:p>
    <w:p>
      <w:pPr>
        <w:pStyle w:val="FirstParagraph"/>
      </w:pPr>
      <w:r>
        <w:t xml:space="preserve">MacroDR is more than a codebase: it is a</w:t>
      </w:r>
      <w:r>
        <w:t xml:space="preserve"> </w:t>
      </w:r>
      <w:r>
        <w:rPr>
          <w:b/>
          <w:bCs/>
        </w:rPr>
        <w:t xml:space="preserve">proof-oriented research program</w:t>
      </w:r>
      <w:r>
        <w:t xml:space="preserve">. It embodies the principle that scientific computation must be: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Safe</w:t>
      </w:r>
      <w:r>
        <w:t xml:space="preserve"> </w:t>
      </w:r>
      <w:r>
        <w:t xml:space="preserve">(invariants guaranteed),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Transparent</w:t>
      </w:r>
      <w:r>
        <w:t xml:space="preserve"> </w:t>
      </w:r>
      <w:r>
        <w:t xml:space="preserve">(provenance explicit),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Reproducible</w:t>
      </w:r>
      <w:r>
        <w:t xml:space="preserve"> </w:t>
      </w:r>
      <w:r>
        <w:t xml:space="preserve">(environments persistable),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Evolvable</w:t>
      </w:r>
      <w:r>
        <w:t xml:space="preserve"> </w:t>
      </w:r>
      <w:r>
        <w:t xml:space="preserve">(modular architecture),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Mathematically principled</w:t>
      </w:r>
      <w:r>
        <w:t xml:space="preserve"> </w:t>
      </w:r>
      <w:r>
        <w:t xml:space="preserve">(HoTTification, algebraic CLI).</w:t>
      </w:r>
    </w:p>
    <w:p>
      <w:pPr>
        <w:pStyle w:val="BodyText"/>
      </w:pPr>
      <w:r>
        <w:t xml:space="preserve">The union of audios and documents reveals a coherent trajectory: from philosophical reflection to engineering scaffolding. The system is already serving immediate scientific goals while charting a course toward a general theory of proof-oriented design in computational science.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2025-09-26T16:55:48Z</dcterms:created>
  <dcterms:modified xsi:type="dcterms:W3CDTF">2025-09-26T16:55:48Z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