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368"/>
        <w:jc w:val="left"/>
      </w:pPr>
      <w:r>
        <w:t>Retail Shelf and Inventory</w:t>
        <w:br/>
        <w:t>Compliance Vision System</w:t>
      </w:r>
    </w:p>
    <w:p>
      <w:pPr>
        <w:spacing w:before="120" w:after="520"/>
      </w:pPr>
      <w:r>
        <w:rPr>
          <w:rFonts w:ascii="Arial" w:hAnsi="Arial"/>
          <w:color w:val="2A8C82"/>
          <w:sz w:val="34"/>
        </w:rPr>
        <w:t>Technical Project Report</w:t>
      </w:r>
    </w:p>
    <w:p>
      <w:pPr>
        <w:spacing w:after="60"/>
      </w:pPr>
      <w:r>
        <w:rPr>
          <w:b/>
          <w:color w:val="17324D"/>
          <w:sz w:val="28"/>
        </w:rPr>
        <w:t>ShelfSight</w:t>
      </w:r>
    </w:p>
    <w:p>
      <w:pPr>
        <w:spacing w:after="60"/>
      </w:pPr>
      <w:r>
        <w:t>Prepared by  Mohammed Aariff L</w:t>
      </w:r>
    </w:p>
    <w:p>
      <w:pPr>
        <w:spacing w:after="60"/>
      </w:pPr>
      <w:r>
        <w:t>Email  lmohammedaariff@gmail.com</w:t>
      </w:r>
    </w:p>
    <w:p>
      <w:pPr>
        <w:spacing w:after="480"/>
      </w:pPr>
      <w:r>
        <w:t>Report date  27 September 2026</w:t>
      </w:r>
    </w:p>
    <w:tbl>
      <w:tblPr>
        <w:tblW w:type="auto" w:w="0"/>
        <w:jc w:val="center"/>
        <w:tblLook w:firstColumn="1" w:firstRow="1" w:lastColumn="0" w:lastRow="0" w:noHBand="0" w:noVBand="1" w:val="04A0"/>
      </w:tblPr>
      <w:tblGrid>
        <w:gridCol w:w="9663"/>
      </w:tblGrid>
      <w:tr>
        <w:tc>
          <w:tcPr>
            <w:tcW w:type="dxa" w:w="9663"/>
            <w:shd w:fill="EAF2F7"/>
            <w:vAlign w:val="center"/>
          </w:tcPr>
          <w:p>
            <w:pPr>
              <w:spacing w:after="40" w:before="40"/>
            </w:pPr>
            <w:r/>
            <w:r>
              <w:rPr>
                <w:rFonts w:ascii="Arial" w:hAnsi="Arial"/>
                <w:b w:val="0"/>
                <w:color w:val="17324D"/>
                <w:sz w:val="19"/>
              </w:rPr>
              <w:t>Project summary  A local Streamlit application for reviewing shelf photos, proposing product regions with OpenCV, classifying crops with a MobileNetV2 demo model, summarizing visible facings, and checking configured planogram slots. The included classifier and test result use synthetic images only.</w:t>
            </w:r>
          </w:p>
        </w:tc>
      </w:tr>
    </w:tbl>
    <w:p>
      <w:pPr>
        <w:spacing w:after="20"/>
      </w:pPr>
    </w:p>
    <w:p>
      <w:pPr>
        <w:spacing w:before="480"/>
      </w:pPr>
      <w:r>
        <w:rPr>
          <w:b/>
        </w:rPr>
        <w:t xml:space="preserve">Project type  </w:t>
      </w:r>
      <w:r>
        <w:t>Applied computer vision prototype</w:t>
      </w:r>
    </w:p>
    <w:p>
      <w:r>
        <w:rPr>
          <w:b/>
        </w:rPr>
        <w:t xml:space="preserve">Core technologies  </w:t>
      </w:r>
      <w:r>
        <w:t>Python, OpenCV, TensorFlow/Keras, Streamlit</w:t>
      </w:r>
    </w:p>
    <w:p>
      <w:r>
        <w:br w:type="page"/>
      </w:r>
    </w:p>
    <w:p>
      <w:pPr>
        <w:pStyle w:val="Heading1"/>
      </w:pPr>
      <w:r>
        <w:t>Executive Summary</w:t>
      </w:r>
    </w:p>
    <w:p>
      <w:r>
        <w:t>ShelfSight is a desktop-friendly web application that analyzes a front-facing retail shelf photo. It validates and decodes the image, identifies candidate product regions using OpenCV or manual rectangles, applies an optional SKU classifier to each crop, and presents inventory and planogram review results. The project packages source code, configuration, model artifacts, synthetic demonstration data, sample shelf photos, evaluation output, and operating documentation.</w:t>
      </w:r>
    </w:p>
    <w:p>
      <w:r>
        <w:t>The included MobileNetV2 classifier recognizes seven demonstration categories. It was trained on 28 generated crops and scored 7 of 7 on a tiny held-out split of generated contact-sheet crops. Those examples share one synthetic source and cover only one test example per category. The result demonstrates that the training and evaluation pipeline runs; it does not measure performance on real stores or real product packaging.</w:t>
      </w:r>
    </w:p>
    <w:p>
      <w:r>
        <w:t>OpenCV region proposals are classical image-processing heuristics rather than a learned object detector. The optional RetinaNet pipeline is present in source but no trained shelf detector is bundled. Human review remains necessary for product identity, candidate regions, inventory counts, and possible planogram violations.</w:t>
      </w:r>
    </w:p>
    <w:tbl>
      <w:tblPr>
        <w:tblStyle w:val="TableGrid"/>
        <w:tblW w:type="auto" w:w="0"/>
        <w:jc w:val="center"/>
        <w:tblLayout w:type="fixed"/>
        <w:tblLook w:firstColumn="1" w:firstRow="1" w:lastColumn="0" w:lastRow="0" w:noHBand="0" w:noVBand="1" w:val="04A0"/>
      </w:tblPr>
      <w:tblGrid>
        <w:gridCol w:w="4831"/>
        <w:gridCol w:w="4831"/>
      </w:tblGrid>
      <w:tr>
        <w:trPr>
          <w:tblHeader w:val="true"/>
        </w:trPr>
        <w:tc>
          <w:tcPr>
            <w:tcW w:type="dxa" w:w="2016"/>
            <w:vAlign w:val="center"/>
            <w:shd w:fill="17324D"/>
          </w:tcPr>
          <w:p>
            <w:pPr>
              <w:spacing w:after="40" w:before="40"/>
            </w:pPr>
            <w:r/>
            <w:r>
              <w:rPr>
                <w:rFonts w:ascii="Arial" w:hAnsi="Arial"/>
                <w:b/>
                <w:color w:val="FFFFFF"/>
                <w:sz w:val="18"/>
              </w:rPr>
              <w:t>At a glance</w:t>
            </w:r>
          </w:p>
        </w:tc>
        <w:tc>
          <w:tcPr>
            <w:tcW w:type="dxa" w:w="7488"/>
            <w:vAlign w:val="center"/>
            <w:shd w:fill="17324D"/>
          </w:tcPr>
          <w:p>
            <w:pPr>
              <w:spacing w:after="40" w:before="40"/>
            </w:pPr>
            <w:r/>
            <w:r>
              <w:rPr>
                <w:rFonts w:ascii="Arial" w:hAnsi="Arial"/>
                <w:b/>
                <w:color w:val="FFFFFF"/>
                <w:sz w:val="18"/>
              </w:rPr>
              <w:t>Current project state</w:t>
            </w:r>
          </w:p>
        </w:tc>
      </w:tr>
      <w:tr>
        <w:tc>
          <w:tcPr>
            <w:tcW w:type="dxa" w:w="2016"/>
            <w:vAlign w:val="center"/>
          </w:tcPr>
          <w:p>
            <w:pPr>
              <w:spacing w:after="40" w:before="40"/>
            </w:pPr>
            <w:r/>
            <w:r>
              <w:rPr>
                <w:rFonts w:ascii="Arial" w:hAnsi="Arial"/>
                <w:b w:val="0"/>
                <w:color w:val="202A33"/>
                <w:sz w:val="17"/>
              </w:rPr>
              <w:t>Application</w:t>
            </w:r>
          </w:p>
        </w:tc>
        <w:tc>
          <w:tcPr>
            <w:tcW w:type="dxa" w:w="7488"/>
            <w:vAlign w:val="center"/>
          </w:tcPr>
          <w:p>
            <w:pPr>
              <w:spacing w:after="40" w:before="40"/>
            </w:pPr>
            <w:r/>
            <w:r>
              <w:rPr>
                <w:rFonts w:ascii="Arial" w:hAnsi="Arial"/>
                <w:b w:val="0"/>
                <w:color w:val="202A33"/>
                <w:sz w:val="17"/>
              </w:rPr>
              <w:t>Streamlit local web app; default user-accessible address in this session is http://localhost:8502/.</w:t>
            </w:r>
          </w:p>
        </w:tc>
      </w:tr>
      <w:tr>
        <w:tc>
          <w:tcPr>
            <w:tcW w:type="dxa" w:w="2016"/>
            <w:vAlign w:val="center"/>
            <w:shd w:fill="F3F6F8"/>
          </w:tcPr>
          <w:p>
            <w:pPr>
              <w:spacing w:after="40" w:before="40"/>
            </w:pPr>
            <w:r/>
            <w:r>
              <w:rPr>
                <w:rFonts w:ascii="Arial" w:hAnsi="Arial"/>
                <w:b w:val="0"/>
                <w:color w:val="202A33"/>
                <w:sz w:val="17"/>
              </w:rPr>
              <w:t>Recognition</w:t>
            </w:r>
          </w:p>
        </w:tc>
        <w:tc>
          <w:tcPr>
            <w:tcW w:type="dxa" w:w="7488"/>
            <w:vAlign w:val="center"/>
            <w:shd w:fill="F3F6F8"/>
          </w:tcPr>
          <w:p>
            <w:pPr>
              <w:spacing w:after="40" w:before="40"/>
            </w:pPr>
            <w:r/>
            <w:r>
              <w:rPr>
                <w:rFonts w:ascii="Arial" w:hAnsi="Arial"/>
                <w:b w:val="0"/>
                <w:color w:val="202A33"/>
                <w:sz w:val="17"/>
              </w:rPr>
              <w:t>MobileNetV2 transfer-learning classifier with seven synthetic demo categories.</w:t>
            </w:r>
          </w:p>
        </w:tc>
      </w:tr>
      <w:tr>
        <w:tc>
          <w:tcPr>
            <w:tcW w:type="dxa" w:w="2016"/>
            <w:vAlign w:val="center"/>
          </w:tcPr>
          <w:p>
            <w:pPr>
              <w:spacing w:after="40" w:before="40"/>
            </w:pPr>
            <w:r/>
            <w:r>
              <w:rPr>
                <w:rFonts w:ascii="Arial" w:hAnsi="Arial"/>
                <w:b w:val="0"/>
                <w:color w:val="202A33"/>
                <w:sz w:val="17"/>
              </w:rPr>
              <w:t>Evaluation</w:t>
            </w:r>
          </w:p>
        </w:tc>
        <w:tc>
          <w:tcPr>
            <w:tcW w:type="dxa" w:w="7488"/>
            <w:vAlign w:val="center"/>
          </w:tcPr>
          <w:p>
            <w:pPr>
              <w:spacing w:after="40" w:before="40"/>
            </w:pPr>
            <w:r/>
            <w:r>
              <w:rPr>
                <w:rFonts w:ascii="Arial" w:hAnsi="Arial"/>
                <w:b w:val="0"/>
                <w:color w:val="202A33"/>
                <w:sz w:val="17"/>
              </w:rPr>
              <w:t>7/7 synthetic held-out examples; no independent real-shelf benchmark.</w:t>
            </w:r>
          </w:p>
        </w:tc>
      </w:tr>
      <w:tr>
        <w:tc>
          <w:tcPr>
            <w:tcW w:type="dxa" w:w="2016"/>
            <w:vAlign w:val="center"/>
            <w:shd w:fill="F3F6F8"/>
          </w:tcPr>
          <w:p>
            <w:pPr>
              <w:spacing w:after="40" w:before="40"/>
            </w:pPr>
            <w:r/>
            <w:r>
              <w:rPr>
                <w:rFonts w:ascii="Arial" w:hAnsi="Arial"/>
                <w:b w:val="0"/>
                <w:color w:val="202A33"/>
                <w:sz w:val="17"/>
              </w:rPr>
              <w:t>Detection</w:t>
            </w:r>
          </w:p>
        </w:tc>
        <w:tc>
          <w:tcPr>
            <w:tcW w:type="dxa" w:w="7488"/>
            <w:vAlign w:val="center"/>
            <w:shd w:fill="F3F6F8"/>
          </w:tcPr>
          <w:p>
            <w:pPr>
              <w:spacing w:after="40" w:before="40"/>
            </w:pPr>
            <w:r/>
            <w:r>
              <w:rPr>
                <w:rFonts w:ascii="Arial" w:hAnsi="Arial"/>
                <w:b w:val="0"/>
                <w:color w:val="202A33"/>
                <w:sz w:val="17"/>
              </w:rPr>
              <w:t>OpenCV contour proposals and manual boxes; no trained RetinaNet artifact.</w:t>
            </w:r>
          </w:p>
        </w:tc>
      </w:tr>
      <w:tr>
        <w:tc>
          <w:tcPr>
            <w:tcW w:type="dxa" w:w="2016"/>
            <w:vAlign w:val="center"/>
          </w:tcPr>
          <w:p>
            <w:pPr>
              <w:spacing w:after="40" w:before="40"/>
            </w:pPr>
            <w:r/>
            <w:r>
              <w:rPr>
                <w:rFonts w:ascii="Arial" w:hAnsi="Arial"/>
                <w:b w:val="0"/>
                <w:color w:val="202A33"/>
                <w:sz w:val="17"/>
              </w:rPr>
              <w:t>Data</w:t>
            </w:r>
          </w:p>
        </w:tc>
        <w:tc>
          <w:tcPr>
            <w:tcW w:type="dxa" w:w="7488"/>
            <w:vAlign w:val="center"/>
          </w:tcPr>
          <w:p>
            <w:pPr>
              <w:spacing w:after="40" w:before="40"/>
            </w:pPr>
            <w:r/>
            <w:r>
              <w:rPr>
                <w:rFonts w:ascii="Arial" w:hAnsi="Arial"/>
                <w:b w:val="0"/>
                <w:color w:val="202A33"/>
                <w:sz w:val="17"/>
              </w:rPr>
              <w:t>Generated training crops and sample shelf images; no real labeled store dataset.</w:t>
            </w:r>
          </w:p>
        </w:tc>
      </w:tr>
    </w:tbl>
    <w:p>
      <w:pPr>
        <w:spacing w:after="20"/>
      </w:pPr>
    </w:p>
    <w:p>
      <w:pPr>
        <w:pStyle w:val="Heading1"/>
      </w:pPr>
      <w:r>
        <w:t>1. Project Purpose and Scope</w:t>
      </w:r>
    </w:p>
    <w:p>
      <w:r>
        <w:t>Retail shelf auditing can require staff to identify visible products, check facing counts, and compare shelf placement with a planogram. ShelfSight provides a research prototype for these tasks from an uploaded image. The interface is designed to make uncertain outputs visible so a person can review them.</w:t>
      </w:r>
    </w:p>
    <w:p>
      <w:pPr>
        <w:pStyle w:val="Heading2"/>
      </w:pPr>
      <w:r>
        <w:t>Objectives</w:t>
      </w:r>
    </w:p>
    <w:p>
      <w:pPr>
        <w:pStyle w:val="ListBullet"/>
        <w:spacing w:after="60"/>
      </w:pPr>
      <w:r>
        <w:t>Accept a front-facing shelf photo and validate its format, dimensions, and pixel count before analysis.</w:t>
      </w:r>
    </w:p>
    <w:p>
      <w:pPr>
        <w:pStyle w:val="ListBullet"/>
        <w:spacing w:after="60"/>
      </w:pPr>
      <w:r>
        <w:t>Propose candidate package regions automatically with OpenCV, or let a reviewer provide normalized manual rectangles.</w:t>
      </w:r>
    </w:p>
    <w:p>
      <w:pPr>
        <w:pStyle w:val="ListBullet"/>
        <w:spacing w:after="60"/>
      </w:pPr>
      <w:r>
        <w:t>Classify candidate crops with a local TensorFlow/Keras SKU model when one is available.</w:t>
      </w:r>
    </w:p>
    <w:p>
      <w:pPr>
        <w:pStyle w:val="ListBullet"/>
        <w:spacing w:after="60"/>
      </w:pPr>
      <w:r>
        <w:t>Summarize visible facings and compare reviewed detections with a configured row or slot planogram.</w:t>
      </w:r>
    </w:p>
    <w:p>
      <w:pPr>
        <w:pStyle w:val="ListBullet"/>
        <w:spacing w:after="60"/>
      </w:pPr>
      <w:r>
        <w:t>Keep uncertain predictions and possible empty or missed positions available for human review.</w:t>
      </w:r>
    </w:p>
    <w:p>
      <w:pPr>
        <w:pStyle w:val="Heading2"/>
      </w:pPr>
      <w:r>
        <w:t>Scope boundary</w:t>
      </w:r>
    </w:p>
    <w:p>
      <w:r>
        <w:t>A single image shows visible facings only. It cannot determine back-stock, stockroom inventory, or true on-hand quantity. Candidate boxes may include merged or spurious regions. Planogram results depend on user-configured geometry and are not operationally validated.</w:t>
      </w:r>
    </w:p>
    <w:p>
      <w:pPr>
        <w:pStyle w:val="Heading1"/>
      </w:pPr>
      <w:r>
        <w:t>2. System Design</w:t>
      </w:r>
    </w:p>
    <w:p>
      <w:r>
        <w:t>The application separates input handling, candidate generation, crop classification, inventory aggregation, and planogram matching. The UI is implemented in Streamlit; reusable vision and business logic live in the shelfsight package.</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val="true"/>
        </w:trPr>
        <w:tc>
          <w:tcPr>
            <w:tcW w:type="dxa" w:w="1656"/>
            <w:vAlign w:val="center"/>
            <w:shd w:fill="17324D"/>
          </w:tcPr>
          <w:p>
            <w:pPr>
              <w:spacing w:after="40" w:before="40"/>
            </w:pPr>
            <w:r/>
            <w:r>
              <w:rPr>
                <w:rFonts w:ascii="Arial" w:hAnsi="Arial"/>
                <w:b/>
                <w:color w:val="FFFFFF"/>
                <w:sz w:val="18"/>
              </w:rPr>
              <w:t>Stage</w:t>
            </w:r>
          </w:p>
        </w:tc>
        <w:tc>
          <w:tcPr>
            <w:tcW w:type="dxa" w:w="4896"/>
            <w:vAlign w:val="center"/>
            <w:shd w:fill="17324D"/>
          </w:tcPr>
          <w:p>
            <w:pPr>
              <w:spacing w:after="40" w:before="40"/>
            </w:pPr>
            <w:r/>
            <w:r>
              <w:rPr>
                <w:rFonts w:ascii="Arial" w:hAnsi="Arial"/>
                <w:b/>
                <w:color w:val="FFFFFF"/>
                <w:sz w:val="18"/>
              </w:rPr>
              <w:t>Implementation</w:t>
            </w:r>
          </w:p>
        </w:tc>
        <w:tc>
          <w:tcPr>
            <w:tcW w:type="dxa" w:w="2952"/>
            <w:vAlign w:val="center"/>
            <w:shd w:fill="17324D"/>
          </w:tcPr>
          <w:p>
            <w:pPr>
              <w:spacing w:after="40" w:before="40"/>
            </w:pPr>
            <w:r/>
            <w:r>
              <w:rPr>
                <w:rFonts w:ascii="Arial" w:hAnsi="Arial"/>
                <w:b/>
                <w:color w:val="FFFFFF"/>
                <w:sz w:val="18"/>
              </w:rPr>
              <w:t>Output</w:t>
            </w:r>
          </w:p>
        </w:tc>
      </w:tr>
      <w:tr>
        <w:tc>
          <w:tcPr>
            <w:tcW w:type="dxa" w:w="1656"/>
            <w:vAlign w:val="center"/>
          </w:tcPr>
          <w:p>
            <w:pPr>
              <w:spacing w:after="40" w:before="40"/>
            </w:pPr>
            <w:r/>
            <w:r>
              <w:rPr>
                <w:rFonts w:ascii="Arial" w:hAnsi="Arial"/>
                <w:b w:val="0"/>
                <w:color w:val="202A33"/>
                <w:sz w:val="17"/>
              </w:rPr>
              <w:t>Image input</w:t>
            </w:r>
          </w:p>
        </w:tc>
        <w:tc>
          <w:tcPr>
            <w:tcW w:type="dxa" w:w="4896"/>
            <w:vAlign w:val="center"/>
          </w:tcPr>
          <w:p>
            <w:pPr>
              <w:spacing w:after="40" w:before="40"/>
            </w:pPr>
            <w:r/>
            <w:r>
              <w:rPr>
                <w:rFonts w:ascii="Arial" w:hAnsi="Arial"/>
                <w:b w:val="0"/>
                <w:color w:val="202A33"/>
                <w:sz w:val="17"/>
              </w:rPr>
              <w:t>Streamlit uploader; byte, dimensions, and pixel validation; EXIF-aware RGB decode.</w:t>
            </w:r>
          </w:p>
        </w:tc>
        <w:tc>
          <w:tcPr>
            <w:tcW w:type="dxa" w:w="2952"/>
            <w:vAlign w:val="center"/>
          </w:tcPr>
          <w:p>
            <w:pPr>
              <w:spacing w:after="40" w:before="40"/>
            </w:pPr>
            <w:r/>
            <w:r>
              <w:rPr>
                <w:rFonts w:ascii="Arial" w:hAnsi="Arial"/>
                <w:b w:val="0"/>
                <w:color w:val="202A33"/>
                <w:sz w:val="17"/>
              </w:rPr>
              <w:t>Validated RGB image.</w:t>
            </w:r>
          </w:p>
        </w:tc>
      </w:tr>
      <w:tr>
        <w:tc>
          <w:tcPr>
            <w:tcW w:type="dxa" w:w="1656"/>
            <w:vAlign w:val="center"/>
            <w:shd w:fill="F3F6F8"/>
          </w:tcPr>
          <w:p>
            <w:pPr>
              <w:spacing w:after="40" w:before="40"/>
            </w:pPr>
            <w:r/>
            <w:r>
              <w:rPr>
                <w:rFonts w:ascii="Arial" w:hAnsi="Arial"/>
                <w:b w:val="0"/>
                <w:color w:val="202A33"/>
                <w:sz w:val="17"/>
              </w:rPr>
              <w:t>Region proposal</w:t>
            </w:r>
          </w:p>
        </w:tc>
        <w:tc>
          <w:tcPr>
            <w:tcW w:type="dxa" w:w="4896"/>
            <w:vAlign w:val="center"/>
            <w:shd w:fill="F3F6F8"/>
          </w:tcPr>
          <w:p>
            <w:pPr>
              <w:spacing w:after="40" w:before="40"/>
            </w:pPr>
            <w:r/>
            <w:r>
              <w:rPr>
                <w:rFonts w:ascii="Arial" w:hAnsi="Arial"/>
                <w:b w:val="0"/>
                <w:color w:val="202A33"/>
                <w:sz w:val="17"/>
              </w:rPr>
              <w:t>OpenCV contrast enhancement, edge/contour processing, geometry filters, overlap suppression; manual rectangles are also supported.</w:t>
            </w:r>
          </w:p>
        </w:tc>
        <w:tc>
          <w:tcPr>
            <w:tcW w:type="dxa" w:w="2952"/>
            <w:vAlign w:val="center"/>
            <w:shd w:fill="F3F6F8"/>
          </w:tcPr>
          <w:p>
            <w:pPr>
              <w:spacing w:after="40" w:before="40"/>
            </w:pPr>
            <w:r/>
            <w:r>
              <w:rPr>
                <w:rFonts w:ascii="Arial" w:hAnsi="Arial"/>
                <w:b w:val="0"/>
                <w:color w:val="202A33"/>
                <w:sz w:val="17"/>
              </w:rPr>
              <w:t>Candidate bounding boxes.</w:t>
            </w:r>
          </w:p>
        </w:tc>
      </w:tr>
      <w:tr>
        <w:tc>
          <w:tcPr>
            <w:tcW w:type="dxa" w:w="1656"/>
            <w:vAlign w:val="center"/>
          </w:tcPr>
          <w:p>
            <w:pPr>
              <w:spacing w:after="40" w:before="40"/>
            </w:pPr>
            <w:r/>
            <w:r>
              <w:rPr>
                <w:rFonts w:ascii="Arial" w:hAnsi="Arial"/>
                <w:b w:val="0"/>
                <w:color w:val="202A33"/>
                <w:sz w:val="17"/>
              </w:rPr>
              <w:t>SKU classification</w:t>
            </w:r>
          </w:p>
        </w:tc>
        <w:tc>
          <w:tcPr>
            <w:tcW w:type="dxa" w:w="4896"/>
            <w:vAlign w:val="center"/>
          </w:tcPr>
          <w:p>
            <w:pPr>
              <w:spacing w:after="40" w:before="40"/>
            </w:pPr>
            <w:r/>
            <w:r>
              <w:rPr>
                <w:rFonts w:ascii="Arial" w:hAnsi="Arial"/>
                <w:b w:val="0"/>
                <w:color w:val="202A33"/>
                <w:sz w:val="17"/>
              </w:rPr>
              <w:t>MobileNetV2 crop classifier; top class and raw softmax score are compared with an acceptance threshold.</w:t>
            </w:r>
          </w:p>
        </w:tc>
        <w:tc>
          <w:tcPr>
            <w:tcW w:type="dxa" w:w="2952"/>
            <w:vAlign w:val="center"/>
          </w:tcPr>
          <w:p>
            <w:pPr>
              <w:spacing w:after="40" w:before="40"/>
            </w:pPr>
            <w:r/>
            <w:r>
              <w:rPr>
                <w:rFonts w:ascii="Arial" w:hAnsi="Arial"/>
                <w:b w:val="0"/>
                <w:color w:val="202A33"/>
                <w:sz w:val="17"/>
              </w:rPr>
              <w:t>Accepted prediction or review-required label.</w:t>
            </w:r>
          </w:p>
        </w:tc>
      </w:tr>
      <w:tr>
        <w:tc>
          <w:tcPr>
            <w:tcW w:type="dxa" w:w="1656"/>
            <w:vAlign w:val="center"/>
            <w:shd w:fill="F3F6F8"/>
          </w:tcPr>
          <w:p>
            <w:pPr>
              <w:spacing w:after="40" w:before="40"/>
            </w:pPr>
            <w:r/>
            <w:r>
              <w:rPr>
                <w:rFonts w:ascii="Arial" w:hAnsi="Arial"/>
                <w:b w:val="0"/>
                <w:color w:val="202A33"/>
                <w:sz w:val="17"/>
              </w:rPr>
              <w:t>Inventory</w:t>
            </w:r>
          </w:p>
        </w:tc>
        <w:tc>
          <w:tcPr>
            <w:tcW w:type="dxa" w:w="4896"/>
            <w:vAlign w:val="center"/>
            <w:shd w:fill="F3F6F8"/>
          </w:tcPr>
          <w:p>
            <w:pPr>
              <w:spacing w:after="40" w:before="40"/>
            </w:pPr>
            <w:r/>
            <w:r>
              <w:rPr>
                <w:rFonts w:ascii="Arial" w:hAnsi="Arial"/>
                <w:b w:val="0"/>
                <w:color w:val="202A33"/>
                <w:sz w:val="17"/>
              </w:rPr>
              <w:t>Aggregates classified and uncertain visible facings by product label.</w:t>
            </w:r>
          </w:p>
        </w:tc>
        <w:tc>
          <w:tcPr>
            <w:tcW w:type="dxa" w:w="2952"/>
            <w:vAlign w:val="center"/>
            <w:shd w:fill="F3F6F8"/>
          </w:tcPr>
          <w:p>
            <w:pPr>
              <w:spacing w:after="40" w:before="40"/>
            </w:pPr>
            <w:r/>
            <w:r>
              <w:rPr>
                <w:rFonts w:ascii="Arial" w:hAnsi="Arial"/>
                <w:b w:val="0"/>
                <w:color w:val="202A33"/>
                <w:sz w:val="17"/>
              </w:rPr>
              <w:t>Visible-facing counts.</w:t>
            </w:r>
          </w:p>
        </w:tc>
      </w:tr>
      <w:tr>
        <w:tc>
          <w:tcPr>
            <w:tcW w:type="dxa" w:w="1656"/>
            <w:vAlign w:val="center"/>
          </w:tcPr>
          <w:p>
            <w:pPr>
              <w:spacing w:after="40" w:before="40"/>
            </w:pPr>
            <w:r/>
            <w:r>
              <w:rPr>
                <w:rFonts w:ascii="Arial" w:hAnsi="Arial"/>
                <w:b w:val="0"/>
                <w:color w:val="202A33"/>
                <w:sz w:val="17"/>
              </w:rPr>
              <w:t>Planogram</w:t>
            </w:r>
          </w:p>
        </w:tc>
        <w:tc>
          <w:tcPr>
            <w:tcW w:type="dxa" w:w="4896"/>
            <w:vAlign w:val="center"/>
          </w:tcPr>
          <w:p>
            <w:pPr>
              <w:spacing w:after="40" w:before="40"/>
            </w:pPr>
            <w:r/>
            <w:r>
              <w:rPr>
                <w:rFonts w:ascii="Arial" w:hAnsi="Arial"/>
                <w:b w:val="0"/>
                <w:color w:val="202A33"/>
                <w:sz w:val="17"/>
              </w:rPr>
              <w:t>Maps candidate products to configured shelf rows and slots and identifies mismatches or unassigned cases.</w:t>
            </w:r>
          </w:p>
        </w:tc>
        <w:tc>
          <w:tcPr>
            <w:tcW w:type="dxa" w:w="2952"/>
            <w:vAlign w:val="center"/>
          </w:tcPr>
          <w:p>
            <w:pPr>
              <w:spacing w:after="40" w:before="40"/>
            </w:pPr>
            <w:r/>
            <w:r>
              <w:rPr>
                <w:rFonts w:ascii="Arial" w:hAnsi="Arial"/>
                <w:b w:val="0"/>
                <w:color w:val="202A33"/>
                <w:sz w:val="17"/>
              </w:rPr>
              <w:t>Compliance results and human-review candidates.</w:t>
            </w:r>
          </w:p>
        </w:tc>
      </w:tr>
      <w:tr>
        <w:tc>
          <w:tcPr>
            <w:tcW w:type="dxa" w:w="1656"/>
            <w:vAlign w:val="center"/>
            <w:shd w:fill="F3F6F8"/>
          </w:tcPr>
          <w:p>
            <w:pPr>
              <w:spacing w:after="40" w:before="40"/>
            </w:pPr>
            <w:r/>
            <w:r>
              <w:rPr>
                <w:rFonts w:ascii="Arial" w:hAnsi="Arial"/>
                <w:b w:val="0"/>
                <w:color w:val="202A33"/>
                <w:sz w:val="17"/>
              </w:rPr>
              <w:t>Presentation</w:t>
            </w:r>
          </w:p>
        </w:tc>
        <w:tc>
          <w:tcPr>
            <w:tcW w:type="dxa" w:w="4896"/>
            <w:vAlign w:val="center"/>
            <w:shd w:fill="F3F6F8"/>
          </w:tcPr>
          <w:p>
            <w:pPr>
              <w:spacing w:after="40" w:before="40"/>
            </w:pPr>
            <w:r/>
            <w:r>
              <w:rPr>
                <w:rFonts w:ascii="Arial" w:hAnsi="Arial"/>
                <w:b w:val="0"/>
                <w:color w:val="202A33"/>
                <w:sz w:val="17"/>
              </w:rPr>
              <w:t>Streamlit tabs for shelf analysis, inventory, compliance, model evaluation, and dataset settings.</w:t>
            </w:r>
          </w:p>
        </w:tc>
        <w:tc>
          <w:tcPr>
            <w:tcW w:type="dxa" w:w="2952"/>
            <w:vAlign w:val="center"/>
            <w:shd w:fill="F3F6F8"/>
          </w:tcPr>
          <w:p>
            <w:pPr>
              <w:spacing w:after="40" w:before="40"/>
            </w:pPr>
            <w:r/>
            <w:r>
              <w:rPr>
                <w:rFonts w:ascii="Arial" w:hAnsi="Arial"/>
                <w:b w:val="0"/>
                <w:color w:val="202A33"/>
                <w:sz w:val="17"/>
              </w:rPr>
              <w:t>Tables, annotated image, metrics, and available exports.</w:t>
            </w:r>
          </w:p>
        </w:tc>
      </w:tr>
    </w:tbl>
    <w:p>
      <w:pPr>
        <w:spacing w:after="20"/>
      </w:pPr>
    </w:p>
    <w:p>
      <w:pPr>
        <w:pStyle w:val="Heading2"/>
      </w:pPr>
      <w:r>
        <w:t>Main application modules</w:t>
      </w:r>
    </w:p>
    <w:tbl>
      <w:tblPr>
        <w:tblStyle w:val="TableGrid"/>
        <w:tblW w:type="auto" w:w="0"/>
        <w:jc w:val="center"/>
        <w:tblLayout w:type="fixed"/>
        <w:tblLook w:firstColumn="1" w:firstRow="1" w:lastColumn="0" w:lastRow="0" w:noHBand="0" w:noVBand="1" w:val="04A0"/>
      </w:tblPr>
      <w:tblGrid>
        <w:gridCol w:w="4831"/>
        <w:gridCol w:w="4831"/>
      </w:tblGrid>
      <w:tr>
        <w:trPr>
          <w:tblHeader w:val="true"/>
        </w:trPr>
        <w:tc>
          <w:tcPr>
            <w:tcW w:type="dxa" w:w="3528"/>
            <w:vAlign w:val="center"/>
            <w:shd w:fill="17324D"/>
          </w:tcPr>
          <w:p>
            <w:pPr>
              <w:spacing w:after="40" w:before="40"/>
            </w:pPr>
            <w:r/>
            <w:r>
              <w:rPr>
                <w:rFonts w:ascii="Arial" w:hAnsi="Arial"/>
                <w:b/>
                <w:color w:val="FFFFFF"/>
                <w:sz w:val="18"/>
              </w:rPr>
              <w:t>Path</w:t>
            </w:r>
          </w:p>
        </w:tc>
        <w:tc>
          <w:tcPr>
            <w:tcW w:type="dxa" w:w="5976"/>
            <w:vAlign w:val="center"/>
            <w:shd w:fill="17324D"/>
          </w:tcPr>
          <w:p>
            <w:pPr>
              <w:spacing w:after="40" w:before="40"/>
            </w:pPr>
            <w:r/>
            <w:r>
              <w:rPr>
                <w:rFonts w:ascii="Arial" w:hAnsi="Arial"/>
                <w:b/>
                <w:color w:val="FFFFFF"/>
                <w:sz w:val="18"/>
              </w:rPr>
              <w:t>Responsibility</w:t>
            </w:r>
          </w:p>
        </w:tc>
      </w:tr>
      <w:tr>
        <w:tc>
          <w:tcPr>
            <w:tcW w:type="dxa" w:w="3528"/>
            <w:vAlign w:val="center"/>
          </w:tcPr>
          <w:p>
            <w:pPr>
              <w:spacing w:after="40" w:before="40"/>
            </w:pPr>
            <w:r/>
            <w:r>
              <w:rPr>
                <w:rFonts w:ascii="Arial" w:hAnsi="Arial"/>
                <w:b w:val="0"/>
                <w:color w:val="202A33"/>
                <w:sz w:val="17"/>
              </w:rPr>
              <w:t>app.py</w:t>
            </w:r>
          </w:p>
        </w:tc>
        <w:tc>
          <w:tcPr>
            <w:tcW w:type="dxa" w:w="5976"/>
            <w:vAlign w:val="center"/>
          </w:tcPr>
          <w:p>
            <w:pPr>
              <w:spacing w:after="40" w:before="40"/>
            </w:pPr>
            <w:r/>
            <w:r>
              <w:rPr>
                <w:rFonts w:ascii="Arial" w:hAnsi="Arial"/>
                <w:b w:val="0"/>
                <w:color w:val="202A33"/>
                <w:sz w:val="17"/>
              </w:rPr>
              <w:t>Streamlit page flow, model loading, image analysis, editable product labels, metrics and settings.</w:t>
            </w:r>
          </w:p>
        </w:tc>
      </w:tr>
      <w:tr>
        <w:tc>
          <w:tcPr>
            <w:tcW w:type="dxa" w:w="3528"/>
            <w:vAlign w:val="center"/>
            <w:shd w:fill="F3F6F8"/>
          </w:tcPr>
          <w:p>
            <w:pPr>
              <w:spacing w:after="40" w:before="40"/>
            </w:pPr>
            <w:r/>
            <w:r>
              <w:rPr>
                <w:rFonts w:ascii="Arial" w:hAnsi="Arial"/>
                <w:b w:val="0"/>
                <w:color w:val="202A33"/>
                <w:sz w:val="17"/>
              </w:rPr>
              <w:t>shelfsight/region_proposals.py and detection.py</w:t>
            </w:r>
          </w:p>
        </w:tc>
        <w:tc>
          <w:tcPr>
            <w:tcW w:type="dxa" w:w="5976"/>
            <w:vAlign w:val="center"/>
            <w:shd w:fill="F3F6F8"/>
          </w:tcPr>
          <w:p>
            <w:pPr>
              <w:spacing w:after="40" w:before="40"/>
            </w:pPr>
            <w:r/>
            <w:r>
              <w:rPr>
                <w:rFonts w:ascii="Arial" w:hAnsi="Arial"/>
                <w:b w:val="0"/>
                <w:color w:val="202A33"/>
                <w:sz w:val="17"/>
              </w:rPr>
              <w:t>Candidate box generation, manual-box validation, classifier inference, and annotations.</w:t>
            </w:r>
          </w:p>
        </w:tc>
      </w:tr>
      <w:tr>
        <w:tc>
          <w:tcPr>
            <w:tcW w:type="dxa" w:w="3528"/>
            <w:vAlign w:val="center"/>
          </w:tcPr>
          <w:p>
            <w:pPr>
              <w:spacing w:after="40" w:before="40"/>
            </w:pPr>
            <w:r/>
            <w:r>
              <w:rPr>
                <w:rFonts w:ascii="Arial" w:hAnsi="Arial"/>
                <w:b w:val="0"/>
                <w:color w:val="202A33"/>
                <w:sz w:val="17"/>
              </w:rPr>
              <w:t>shelfsight/classification.py</w:t>
            </w:r>
          </w:p>
        </w:tc>
        <w:tc>
          <w:tcPr>
            <w:tcW w:type="dxa" w:w="5976"/>
            <w:vAlign w:val="center"/>
          </w:tcPr>
          <w:p>
            <w:pPr>
              <w:spacing w:after="40" w:before="40"/>
            </w:pPr>
            <w:r/>
            <w:r>
              <w:rPr>
                <w:rFonts w:ascii="Arial" w:hAnsi="Arial"/>
                <w:b w:val="0"/>
                <w:color w:val="202A33"/>
                <w:sz w:val="17"/>
              </w:rPr>
              <w:t>Classifier/label loading and accepted, review-required, or model-required decisions.</w:t>
            </w:r>
          </w:p>
        </w:tc>
      </w:tr>
      <w:tr>
        <w:tc>
          <w:tcPr>
            <w:tcW w:type="dxa" w:w="3528"/>
            <w:vAlign w:val="center"/>
            <w:shd w:fill="F3F6F8"/>
          </w:tcPr>
          <w:p>
            <w:pPr>
              <w:spacing w:after="40" w:before="40"/>
            </w:pPr>
            <w:r/>
            <w:r>
              <w:rPr>
                <w:rFonts w:ascii="Arial" w:hAnsi="Arial"/>
                <w:b w:val="0"/>
                <w:color w:val="202A33"/>
                <w:sz w:val="17"/>
              </w:rPr>
              <w:t>shelfsight/inventory.py and compliance.py</w:t>
            </w:r>
          </w:p>
        </w:tc>
        <w:tc>
          <w:tcPr>
            <w:tcW w:type="dxa" w:w="5976"/>
            <w:vAlign w:val="center"/>
            <w:shd w:fill="F3F6F8"/>
          </w:tcPr>
          <w:p>
            <w:pPr>
              <w:spacing w:after="40" w:before="40"/>
            </w:pPr>
            <w:r/>
            <w:r>
              <w:rPr>
                <w:rFonts w:ascii="Arial" w:hAnsi="Arial"/>
                <w:b w:val="0"/>
                <w:color w:val="202A33"/>
                <w:sz w:val="17"/>
              </w:rPr>
              <w:t>Visible counts, planogram matching, and review status handling.</w:t>
            </w:r>
          </w:p>
        </w:tc>
      </w:tr>
      <w:tr>
        <w:tc>
          <w:tcPr>
            <w:tcW w:type="dxa" w:w="3528"/>
            <w:vAlign w:val="center"/>
          </w:tcPr>
          <w:p>
            <w:pPr>
              <w:spacing w:after="40" w:before="40"/>
            </w:pPr>
            <w:r/>
            <w:r>
              <w:rPr>
                <w:rFonts w:ascii="Arial" w:hAnsi="Arial"/>
                <w:b w:val="0"/>
                <w:color w:val="202A33"/>
                <w:sz w:val="17"/>
              </w:rPr>
              <w:t>training/</w:t>
            </w:r>
          </w:p>
        </w:tc>
        <w:tc>
          <w:tcPr>
            <w:tcW w:type="dxa" w:w="5976"/>
            <w:vAlign w:val="center"/>
          </w:tcPr>
          <w:p>
            <w:pPr>
              <w:spacing w:after="40" w:before="40"/>
            </w:pPr>
            <w:r/>
            <w:r>
              <w:rPr>
                <w:rFonts w:ascii="Arial" w:hAnsi="Arial"/>
                <w:b w:val="0"/>
                <w:color w:val="202A33"/>
                <w:sz w:val="17"/>
              </w:rPr>
              <w:t>Synthetic demo trainer and general classifier/detector training workflows.</w:t>
            </w:r>
          </w:p>
        </w:tc>
      </w:tr>
      <w:tr>
        <w:tc>
          <w:tcPr>
            <w:tcW w:type="dxa" w:w="3528"/>
            <w:vAlign w:val="center"/>
            <w:shd w:fill="F3F6F8"/>
          </w:tcPr>
          <w:p>
            <w:pPr>
              <w:spacing w:after="40" w:before="40"/>
            </w:pPr>
            <w:r/>
            <w:r>
              <w:rPr>
                <w:rFonts w:ascii="Arial" w:hAnsi="Arial"/>
                <w:b w:val="0"/>
                <w:color w:val="202A33"/>
                <w:sz w:val="17"/>
              </w:rPr>
              <w:t>evaluation/</w:t>
            </w:r>
          </w:p>
        </w:tc>
        <w:tc>
          <w:tcPr>
            <w:tcW w:type="dxa" w:w="5976"/>
            <w:vAlign w:val="center"/>
            <w:shd w:fill="F3F6F8"/>
          </w:tcPr>
          <w:p>
            <w:pPr>
              <w:spacing w:after="40" w:before="40"/>
            </w:pPr>
            <w:r/>
            <w:r>
              <w:rPr>
                <w:rFonts w:ascii="Arial" w:hAnsi="Arial"/>
                <w:b w:val="0"/>
                <w:color w:val="202A33"/>
                <w:sz w:val="17"/>
              </w:rPr>
              <w:t>Evaluation helpers for detection, inventory, compliance, and detector predictions.</w:t>
            </w:r>
          </w:p>
        </w:tc>
      </w:tr>
    </w:tbl>
    <w:p>
      <w:pPr>
        <w:spacing w:after="20"/>
      </w:pPr>
    </w:p>
    <w:p>
      <w:pPr>
        <w:pStyle w:val="Heading1"/>
      </w:pPr>
      <w:r>
        <w:t>3. Dataset and Model</w:t>
      </w:r>
    </w:p>
    <w:p>
      <w:r>
        <w:t>The demo classifier has seven output categories: coconut milk carton, tomato, carrot, green bell pepper, cucumber, yellow onion, and cabbage. The generated crop set contains 35 files: 28 training crops (21 contact-sheet crops from rows 1 through 3 and 7 generated shelf-context crops) and 7 held-out contact-sheet crops (row 4, one per class).</w:t>
      </w:r>
    </w:p>
    <w:p>
      <w:r>
        <w:t>The trainer uses a MobileNetV2 ImageNet feature backbone with a new seven-class softmax head. Inputs are resized to 224 by 224 pixels. Light image augmentation is applied during training, and pixel scaling is embedded in the saved Keras model so inference uses the same input contract. Training runs for 45 epochs with the locally cached ImageNet weights included in the package.</w:t>
      </w:r>
    </w:p>
    <w:tbl>
      <w:tblPr>
        <w:tblStyle w:val="TableGrid"/>
        <w:tblW w:type="auto" w:w="0"/>
        <w:jc w:val="center"/>
        <w:tblLayout w:type="fixed"/>
        <w:tblLook w:firstColumn="1" w:firstRow="1" w:lastColumn="0" w:lastRow="0" w:noHBand="0" w:noVBand="1" w:val="04A0"/>
      </w:tblPr>
      <w:tblGrid>
        <w:gridCol w:w="4831"/>
        <w:gridCol w:w="4831"/>
      </w:tblGrid>
      <w:tr>
        <w:trPr>
          <w:tblHeader w:val="true"/>
        </w:trPr>
        <w:tc>
          <w:tcPr>
            <w:tcW w:type="dxa" w:w="3528"/>
            <w:vAlign w:val="center"/>
            <w:shd w:fill="17324D"/>
          </w:tcPr>
          <w:p>
            <w:pPr>
              <w:spacing w:after="40" w:before="40"/>
            </w:pPr>
            <w:r/>
            <w:r>
              <w:rPr>
                <w:rFonts w:ascii="Arial" w:hAnsi="Arial"/>
                <w:b/>
                <w:color w:val="FFFFFF"/>
                <w:sz w:val="18"/>
              </w:rPr>
              <w:t>Artifact</w:t>
            </w:r>
          </w:p>
        </w:tc>
        <w:tc>
          <w:tcPr>
            <w:tcW w:type="dxa" w:w="5976"/>
            <w:vAlign w:val="center"/>
            <w:shd w:fill="17324D"/>
          </w:tcPr>
          <w:p>
            <w:pPr>
              <w:spacing w:after="40" w:before="40"/>
            </w:pPr>
            <w:r/>
            <w:r>
              <w:rPr>
                <w:rFonts w:ascii="Arial" w:hAnsi="Arial"/>
                <w:b/>
                <w:color w:val="FFFFFF"/>
                <w:sz w:val="18"/>
              </w:rPr>
              <w:t>Purpose</w:t>
            </w:r>
          </w:p>
        </w:tc>
      </w:tr>
      <w:tr>
        <w:tc>
          <w:tcPr>
            <w:tcW w:type="dxa" w:w="3528"/>
            <w:vAlign w:val="center"/>
          </w:tcPr>
          <w:p>
            <w:pPr>
              <w:spacing w:after="40" w:before="40"/>
            </w:pPr>
            <w:r/>
            <w:r>
              <w:rPr>
                <w:rFonts w:ascii="Arial" w:hAnsi="Arial"/>
                <w:b w:val="0"/>
                <w:color w:val="202A33"/>
                <w:sz w:val="17"/>
              </w:rPr>
              <w:t>models/sku_classifier.keras</w:t>
            </w:r>
          </w:p>
        </w:tc>
        <w:tc>
          <w:tcPr>
            <w:tcW w:type="dxa" w:w="5976"/>
            <w:vAlign w:val="center"/>
          </w:tcPr>
          <w:p>
            <w:pPr>
              <w:spacing w:after="40" w:before="40"/>
            </w:pPr>
            <w:r/>
            <w:r>
              <w:rPr>
                <w:rFonts w:ascii="Arial" w:hAnsi="Arial"/>
                <w:b w:val="0"/>
                <w:color w:val="202A33"/>
                <w:sz w:val="17"/>
              </w:rPr>
              <w:t>Saved seven-category TensorFlow/Keras classifier.</w:t>
            </w:r>
          </w:p>
        </w:tc>
      </w:tr>
      <w:tr>
        <w:tc>
          <w:tcPr>
            <w:tcW w:type="dxa" w:w="3528"/>
            <w:vAlign w:val="center"/>
            <w:shd w:fill="F3F6F8"/>
          </w:tcPr>
          <w:p>
            <w:pPr>
              <w:spacing w:after="40" w:before="40"/>
            </w:pPr>
            <w:r/>
            <w:r>
              <w:rPr>
                <w:rFonts w:ascii="Arial" w:hAnsi="Arial"/>
                <w:b w:val="0"/>
                <w:color w:val="202A33"/>
                <w:sz w:val="17"/>
              </w:rPr>
              <w:t>models/labels.json</w:t>
            </w:r>
          </w:p>
        </w:tc>
        <w:tc>
          <w:tcPr>
            <w:tcW w:type="dxa" w:w="5976"/>
            <w:vAlign w:val="center"/>
            <w:shd w:fill="F3F6F8"/>
          </w:tcPr>
          <w:p>
            <w:pPr>
              <w:spacing w:after="40" w:before="40"/>
            </w:pPr>
            <w:r/>
            <w:r>
              <w:rPr>
                <w:rFonts w:ascii="Arial" w:hAnsi="Arial"/>
                <w:b w:val="0"/>
                <w:color w:val="202A33"/>
                <w:sz w:val="17"/>
              </w:rPr>
              <w:t>Class names in the model output order.</w:t>
            </w:r>
          </w:p>
        </w:tc>
      </w:tr>
      <w:tr>
        <w:tc>
          <w:tcPr>
            <w:tcW w:type="dxa" w:w="3528"/>
            <w:vAlign w:val="center"/>
          </w:tcPr>
          <w:p>
            <w:pPr>
              <w:spacing w:after="40" w:before="40"/>
            </w:pPr>
            <w:r/>
            <w:r>
              <w:rPr>
                <w:rFonts w:ascii="Arial" w:hAnsi="Arial"/>
                <w:b w:val="0"/>
                <w:color w:val="202A33"/>
                <w:sz w:val="17"/>
              </w:rPr>
              <w:t>models/model_info.json</w:t>
            </w:r>
          </w:p>
        </w:tc>
        <w:tc>
          <w:tcPr>
            <w:tcW w:type="dxa" w:w="5976"/>
            <w:vAlign w:val="center"/>
          </w:tcPr>
          <w:p>
            <w:pPr>
              <w:spacing w:after="40" w:before="40"/>
            </w:pPr>
            <w:r/>
            <w:r>
              <w:rPr>
                <w:rFonts w:ascii="Arial" w:hAnsi="Arial"/>
                <w:b w:val="0"/>
                <w:color w:val="202A33"/>
                <w:sz w:val="17"/>
              </w:rPr>
              <w:t>Architecture, data counts, classes, and limitations.</w:t>
            </w:r>
          </w:p>
        </w:tc>
      </w:tr>
      <w:tr>
        <w:tc>
          <w:tcPr>
            <w:tcW w:type="dxa" w:w="3528"/>
            <w:vAlign w:val="center"/>
            <w:shd w:fill="F3F6F8"/>
          </w:tcPr>
          <w:p>
            <w:pPr>
              <w:spacing w:after="40" w:before="40"/>
            </w:pPr>
            <w:r/>
            <w:r>
              <w:rPr>
                <w:rFonts w:ascii="Arial" w:hAnsi="Arial"/>
                <w:b w:val="0"/>
                <w:color w:val="202A33"/>
                <w:sz w:val="17"/>
              </w:rPr>
              <w:t>models/classification_metrics.json</w:t>
            </w:r>
          </w:p>
        </w:tc>
        <w:tc>
          <w:tcPr>
            <w:tcW w:type="dxa" w:w="5976"/>
            <w:vAlign w:val="center"/>
            <w:shd w:fill="F3F6F8"/>
          </w:tcPr>
          <w:p>
            <w:pPr>
              <w:spacing w:after="40" w:before="40"/>
            </w:pPr>
            <w:r/>
            <w:r>
              <w:rPr>
                <w:rFonts w:ascii="Arial" w:hAnsi="Arial"/>
                <w:b w:val="0"/>
                <w:color w:val="202A33"/>
                <w:sz w:val="17"/>
              </w:rPr>
              <w:t>Tiny synthetic held-out classification report.</w:t>
            </w:r>
          </w:p>
        </w:tc>
      </w:tr>
      <w:tr>
        <w:tc>
          <w:tcPr>
            <w:tcW w:type="dxa" w:w="3528"/>
            <w:vAlign w:val="center"/>
          </w:tcPr>
          <w:p>
            <w:pPr>
              <w:spacing w:after="40" w:before="40"/>
            </w:pPr>
            <w:r/>
            <w:r>
              <w:rPr>
                <w:rFonts w:ascii="Arial" w:hAnsi="Arial"/>
                <w:b w:val="0"/>
                <w:color w:val="202A33"/>
                <w:sz w:val="17"/>
              </w:rPr>
              <w:t>data/synthetic_demo_products/</w:t>
            </w:r>
          </w:p>
        </w:tc>
        <w:tc>
          <w:tcPr>
            <w:tcW w:type="dxa" w:w="5976"/>
            <w:vAlign w:val="center"/>
          </w:tcPr>
          <w:p>
            <w:pPr>
              <w:spacing w:after="40" w:before="40"/>
            </w:pPr>
            <w:r/>
            <w:r>
              <w:rPr>
                <w:rFonts w:ascii="Arial" w:hAnsi="Arial"/>
                <w:b w:val="0"/>
                <w:color w:val="202A33"/>
                <w:sz w:val="17"/>
              </w:rPr>
              <w:t>Generated labeled crops used by the demonstration trainer.</w:t>
            </w:r>
          </w:p>
        </w:tc>
      </w:tr>
      <w:tr>
        <w:tc>
          <w:tcPr>
            <w:tcW w:type="dxa" w:w="3528"/>
            <w:vAlign w:val="center"/>
            <w:shd w:fill="F3F6F8"/>
          </w:tcPr>
          <w:p>
            <w:pPr>
              <w:spacing w:after="40" w:before="40"/>
            </w:pPr>
            <w:r/>
            <w:r>
              <w:rPr>
                <w:rFonts w:ascii="Arial" w:hAnsi="Arial"/>
                <w:b w:val="0"/>
                <w:color w:val="202A33"/>
                <w:sz w:val="17"/>
              </w:rPr>
              <w:t>.cache/keras/</w:t>
            </w:r>
          </w:p>
        </w:tc>
        <w:tc>
          <w:tcPr>
            <w:tcW w:type="dxa" w:w="5976"/>
            <w:vAlign w:val="center"/>
            <w:shd w:fill="F3F6F8"/>
          </w:tcPr>
          <w:p>
            <w:pPr>
              <w:spacing w:after="40" w:before="40"/>
            </w:pPr>
            <w:r/>
            <w:r>
              <w:rPr>
                <w:rFonts w:ascii="Arial" w:hAnsi="Arial"/>
                <w:b w:val="0"/>
                <w:color w:val="202A33"/>
                <w:sz w:val="17"/>
              </w:rPr>
              <w:t>Locally cached MobileNetV2 ImageNet weights and Keras settings for offline retraining.</w:t>
            </w:r>
          </w:p>
        </w:tc>
      </w:tr>
    </w:tbl>
    <w:p>
      <w:pPr>
        <w:spacing w:after="20"/>
      </w:pPr>
    </w:p>
    <w:p>
      <w:pPr>
        <w:pStyle w:val="Heading1"/>
      </w:pPr>
      <w:r>
        <w:t>4. Evaluation Results</w:t>
      </w:r>
    </w:p>
    <w:p>
      <w:r>
        <w:t>The saved report evaluates a model trained without the held-out contact-sheet row. Each of the seven categories has one test crop, so every class has support of one. The model correctly predicted all seven examples in this small synthetic split.</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val="true"/>
        </w:trPr>
        <w:tc>
          <w:tcPr>
            <w:tcW w:type="dxa" w:w="2592"/>
            <w:vAlign w:val="center"/>
            <w:shd w:fill="17324D"/>
          </w:tcPr>
          <w:p>
            <w:pPr>
              <w:spacing w:after="40" w:before="40"/>
            </w:pPr>
            <w:r/>
            <w:r>
              <w:rPr>
                <w:rFonts w:ascii="Arial" w:hAnsi="Arial"/>
                <w:b/>
                <w:color w:val="FFFFFF"/>
                <w:sz w:val="18"/>
              </w:rPr>
              <w:t>Metric</w:t>
            </w:r>
          </w:p>
        </w:tc>
        <w:tc>
          <w:tcPr>
            <w:tcW w:type="dxa" w:w="2232"/>
            <w:vAlign w:val="center"/>
            <w:shd w:fill="17324D"/>
          </w:tcPr>
          <w:p>
            <w:pPr>
              <w:spacing w:after="40" w:before="40"/>
            </w:pPr>
            <w:r/>
            <w:r>
              <w:rPr>
                <w:rFonts w:ascii="Arial" w:hAnsi="Arial"/>
                <w:b/>
                <w:color w:val="FFFFFF"/>
                <w:sz w:val="18"/>
              </w:rPr>
              <w:t>Result</w:t>
            </w:r>
          </w:p>
        </w:tc>
        <w:tc>
          <w:tcPr>
            <w:tcW w:type="dxa" w:w="4680"/>
            <w:vAlign w:val="center"/>
            <w:shd w:fill="17324D"/>
          </w:tcPr>
          <w:p>
            <w:pPr>
              <w:spacing w:after="40" w:before="40"/>
            </w:pPr>
            <w:r/>
            <w:r>
              <w:rPr>
                <w:rFonts w:ascii="Arial" w:hAnsi="Arial"/>
                <w:b/>
                <w:color w:val="FFFFFF"/>
                <w:sz w:val="18"/>
              </w:rPr>
              <w:t>Interpretation</w:t>
            </w:r>
          </w:p>
        </w:tc>
      </w:tr>
      <w:tr>
        <w:tc>
          <w:tcPr>
            <w:tcW w:type="dxa" w:w="2592"/>
            <w:vAlign w:val="center"/>
          </w:tcPr>
          <w:p>
            <w:pPr>
              <w:spacing w:after="40" w:before="40"/>
            </w:pPr>
            <w:r/>
            <w:r>
              <w:rPr>
                <w:rFonts w:ascii="Arial" w:hAnsi="Arial"/>
                <w:b w:val="0"/>
                <w:color w:val="202A33"/>
                <w:sz w:val="17"/>
              </w:rPr>
              <w:t>Test images</w:t>
            </w:r>
          </w:p>
        </w:tc>
        <w:tc>
          <w:tcPr>
            <w:tcW w:type="dxa" w:w="2232"/>
            <w:vAlign w:val="center"/>
          </w:tcPr>
          <w:p>
            <w:pPr>
              <w:spacing w:after="40" w:before="40"/>
            </w:pPr>
            <w:r/>
            <w:r>
              <w:rPr>
                <w:rFonts w:ascii="Arial" w:hAnsi="Arial"/>
                <w:b w:val="0"/>
                <w:color w:val="202A33"/>
                <w:sz w:val="17"/>
              </w:rPr>
              <w:t>7</w:t>
            </w:r>
          </w:p>
        </w:tc>
        <w:tc>
          <w:tcPr>
            <w:tcW w:type="dxa" w:w="4680"/>
            <w:vAlign w:val="center"/>
          </w:tcPr>
          <w:p>
            <w:pPr>
              <w:spacing w:after="40" w:before="40"/>
            </w:pPr>
            <w:r/>
            <w:r>
              <w:rPr>
                <w:rFonts w:ascii="Arial" w:hAnsi="Arial"/>
                <w:b w:val="0"/>
                <w:color w:val="202A33"/>
                <w:sz w:val="17"/>
              </w:rPr>
              <w:t>One generated crop per category.</w:t>
            </w:r>
          </w:p>
        </w:tc>
      </w:tr>
      <w:tr>
        <w:tc>
          <w:tcPr>
            <w:tcW w:type="dxa" w:w="2592"/>
            <w:vAlign w:val="center"/>
            <w:shd w:fill="F3F6F8"/>
          </w:tcPr>
          <w:p>
            <w:pPr>
              <w:spacing w:after="40" w:before="40"/>
            </w:pPr>
            <w:r/>
            <w:r>
              <w:rPr>
                <w:rFonts w:ascii="Arial" w:hAnsi="Arial"/>
                <w:b w:val="0"/>
                <w:color w:val="202A33"/>
                <w:sz w:val="17"/>
              </w:rPr>
              <w:t>Accuracy</w:t>
            </w:r>
          </w:p>
        </w:tc>
        <w:tc>
          <w:tcPr>
            <w:tcW w:type="dxa" w:w="2232"/>
            <w:vAlign w:val="center"/>
            <w:shd w:fill="F3F6F8"/>
          </w:tcPr>
          <w:p>
            <w:pPr>
              <w:spacing w:after="40" w:before="40"/>
            </w:pPr>
            <w:r/>
            <w:r>
              <w:rPr>
                <w:rFonts w:ascii="Arial" w:hAnsi="Arial"/>
                <w:b w:val="0"/>
                <w:color w:val="202A33"/>
                <w:sz w:val="17"/>
              </w:rPr>
              <w:t>100% (7/7)</w:t>
            </w:r>
          </w:p>
        </w:tc>
        <w:tc>
          <w:tcPr>
            <w:tcW w:type="dxa" w:w="4680"/>
            <w:vAlign w:val="center"/>
            <w:shd w:fill="F3F6F8"/>
          </w:tcPr>
          <w:p>
            <w:pPr>
              <w:spacing w:after="40" w:before="40"/>
            </w:pPr>
            <w:r/>
            <w:r>
              <w:rPr>
                <w:rFonts w:ascii="Arial" w:hAnsi="Arial"/>
                <w:b w:val="0"/>
                <w:color w:val="202A33"/>
                <w:sz w:val="17"/>
              </w:rPr>
              <w:t>Only for this tiny synthetic holdout.</w:t>
            </w:r>
          </w:p>
        </w:tc>
      </w:tr>
      <w:tr>
        <w:tc>
          <w:tcPr>
            <w:tcW w:type="dxa" w:w="2592"/>
            <w:vAlign w:val="center"/>
          </w:tcPr>
          <w:p>
            <w:pPr>
              <w:spacing w:after="40" w:before="40"/>
            </w:pPr>
            <w:r/>
            <w:r>
              <w:rPr>
                <w:rFonts w:ascii="Arial" w:hAnsi="Arial"/>
                <w:b w:val="0"/>
                <w:color w:val="202A33"/>
                <w:sz w:val="17"/>
              </w:rPr>
              <w:t>Macro precision / recall / F1</w:t>
            </w:r>
          </w:p>
        </w:tc>
        <w:tc>
          <w:tcPr>
            <w:tcW w:type="dxa" w:w="2232"/>
            <w:vAlign w:val="center"/>
          </w:tcPr>
          <w:p>
            <w:pPr>
              <w:spacing w:after="40" w:before="40"/>
            </w:pPr>
            <w:r/>
            <w:r>
              <w:rPr>
                <w:rFonts w:ascii="Arial" w:hAnsi="Arial"/>
                <w:b w:val="0"/>
                <w:color w:val="202A33"/>
                <w:sz w:val="17"/>
              </w:rPr>
              <w:t>100% / 100% / 100%</w:t>
            </w:r>
          </w:p>
        </w:tc>
        <w:tc>
          <w:tcPr>
            <w:tcW w:type="dxa" w:w="4680"/>
            <w:vAlign w:val="center"/>
          </w:tcPr>
          <w:p>
            <w:pPr>
              <w:spacing w:after="40" w:before="40"/>
            </w:pPr>
            <w:r/>
            <w:r>
              <w:rPr>
                <w:rFonts w:ascii="Arial" w:hAnsi="Arial"/>
                <w:b w:val="0"/>
                <w:color w:val="202A33"/>
                <w:sz w:val="17"/>
              </w:rPr>
              <w:t>Each class has one test example.</w:t>
            </w:r>
          </w:p>
        </w:tc>
      </w:tr>
      <w:tr>
        <w:tc>
          <w:tcPr>
            <w:tcW w:type="dxa" w:w="2592"/>
            <w:vAlign w:val="center"/>
            <w:shd w:fill="F3F6F8"/>
          </w:tcPr>
          <w:p>
            <w:pPr>
              <w:spacing w:after="40" w:before="40"/>
            </w:pPr>
            <w:r/>
            <w:r>
              <w:rPr>
                <w:rFonts w:ascii="Arial" w:hAnsi="Arial"/>
                <w:b w:val="0"/>
                <w:color w:val="202A33"/>
                <w:sz w:val="17"/>
              </w:rPr>
              <w:t>Confusion matrix</w:t>
            </w:r>
          </w:p>
        </w:tc>
        <w:tc>
          <w:tcPr>
            <w:tcW w:type="dxa" w:w="2232"/>
            <w:vAlign w:val="center"/>
            <w:shd w:fill="F3F6F8"/>
          </w:tcPr>
          <w:p>
            <w:pPr>
              <w:spacing w:after="40" w:before="40"/>
            </w:pPr>
            <w:r/>
            <w:r>
              <w:rPr>
                <w:rFonts w:ascii="Arial" w:hAnsi="Arial"/>
                <w:b w:val="0"/>
                <w:color w:val="202A33"/>
                <w:sz w:val="17"/>
              </w:rPr>
              <w:t>7 correct on the diagonal; no errors in this split.</w:t>
            </w:r>
          </w:p>
        </w:tc>
        <w:tc>
          <w:tcPr>
            <w:tcW w:type="dxa" w:w="4680"/>
            <w:vAlign w:val="center"/>
            <w:shd w:fill="F3F6F8"/>
          </w:tcPr>
          <w:p>
            <w:pPr>
              <w:spacing w:after="40" w:before="40"/>
            </w:pPr>
            <w:r/>
            <w:r>
              <w:rPr>
                <w:rFonts w:ascii="Arial" w:hAnsi="Arial"/>
                <w:b w:val="0"/>
                <w:color w:val="202A33"/>
                <w:sz w:val="17"/>
              </w:rPr>
              <w:t>Too small to estimate real-world error rates.</w:t>
            </w:r>
          </w:p>
        </w:tc>
      </w:tr>
    </w:tbl>
    <w:p>
      <w:pPr>
        <w:spacing w:after="20"/>
      </w:pPr>
    </w:p>
    <w:tbl>
      <w:tblPr>
        <w:tblW w:type="auto" w:w="0"/>
        <w:jc w:val="center"/>
        <w:tblLook w:firstColumn="1" w:firstRow="1" w:lastColumn="0" w:lastRow="0" w:noHBand="0" w:noVBand="1" w:val="04A0"/>
      </w:tblPr>
      <w:tblGrid>
        <w:gridCol w:w="9663"/>
      </w:tblGrid>
      <w:tr>
        <w:tc>
          <w:tcPr>
            <w:tcW w:type="dxa" w:w="9663"/>
            <w:shd w:fill="FFF1D6"/>
            <w:vAlign w:val="center"/>
          </w:tcPr>
          <w:p>
            <w:pPr>
              <w:spacing w:after="40" w:before="40"/>
            </w:pPr>
            <w:r/>
            <w:r>
              <w:rPr>
                <w:rFonts w:ascii="Arial" w:hAnsi="Arial"/>
                <w:b w:val="0"/>
                <w:color w:val="17324D"/>
                <w:sz w:val="19"/>
              </w:rPr>
              <w:t>Interpretation warning  The training crops and held-out examples come from the same generated contact sheet style. This result is not independent real-world validation and must not be described as retail shelf accuracy. No quantitative shelf-detection, inventory-count, or planogram-compliance benchmark is included.</w:t>
            </w:r>
          </w:p>
        </w:tc>
      </w:tr>
    </w:tbl>
    <w:p>
      <w:pPr>
        <w:spacing w:after="20"/>
      </w:pPr>
    </w:p>
    <w:p>
      <w:r>
        <w:t>The application also displays per-crop raw softmax scores. These scores are not calibrated probabilities. A threshold controls whether a result is accepted or routed to review; it does not guarantee that a prediction is correct.</w:t>
      </w:r>
    </w:p>
    <w:p>
      <w:pPr>
        <w:pStyle w:val="Heading1"/>
      </w:pPr>
      <w:r>
        <w:t>5. User Workflow</w:t>
      </w:r>
    </w:p>
    <w:p>
      <w:pPr>
        <w:pStyle w:val="ListNumber"/>
        <w:spacing w:after="80"/>
      </w:pPr>
      <w:r>
        <w:t>Start the app and upload a well-lit, front-facing shelf photo in JPG, PNG, or WEBP format within the configured upload limits.</w:t>
      </w:r>
    </w:p>
    <w:p>
      <w:pPr>
        <w:pStyle w:val="ListNumber"/>
        <w:spacing w:after="80"/>
      </w:pPr>
      <w:r>
        <w:t>Choose automatic OpenCV regions, manual rectangles, or the learned detector option only if a detector model has been installed.</w:t>
      </w:r>
    </w:p>
    <w:p>
      <w:pPr>
        <w:pStyle w:val="ListNumber"/>
        <w:spacing w:after="80"/>
      </w:pPr>
      <w:r>
        <w:t>Review candidate regions, labels, scores, and decisions. Treat low-confidence labels as suggestions and correct labels as needed.</w:t>
      </w:r>
    </w:p>
    <w:p>
      <w:pPr>
        <w:pStyle w:val="ListNumber"/>
        <w:spacing w:after="80"/>
      </w:pPr>
      <w:r>
        <w:t>Inspect the Inventory tab for visible facings and the Planogram compliance tab for configured row and slot results.</w:t>
      </w:r>
    </w:p>
    <w:p>
      <w:pPr>
        <w:pStyle w:val="ListNumber"/>
        <w:spacing w:after="80"/>
      </w:pPr>
      <w:r>
        <w:t>Use Dataset &amp; settings to view the bundled demo categories and the current state of real labeled training data.</w:t>
      </w:r>
    </w:p>
    <w:p>
      <w:pPr>
        <w:pStyle w:val="Heading2"/>
      </w:pPr>
      <w:r>
        <w:t>Local setup and launch</w:t>
      </w:r>
    </w:p>
    <w:p>
      <w:pPr>
        <w:spacing w:after="60"/>
        <w:ind w:left="259"/>
      </w:pPr>
      <w:r>
        <w:rPr>
          <w:rFonts w:ascii="Consolas" w:hAnsi="Consolas"/>
          <w:color w:val="236B8E"/>
          <w:sz w:val="17"/>
        </w:rPr>
        <w:t>1. Install Python 3.10-3.12 and extract the project ZIP.</w:t>
      </w:r>
    </w:p>
    <w:p>
      <w:pPr>
        <w:spacing w:after="60"/>
        <w:ind w:left="259"/>
      </w:pPr>
      <w:r>
        <w:rPr>
          <w:rFonts w:ascii="Consolas" w:hAnsi="Consolas"/>
          <w:color w:val="236B8E"/>
          <w:sz w:val="17"/>
        </w:rPr>
        <w:t>2. In PowerShell, open the extracted retail-shelf-vision folder.</w:t>
      </w:r>
    </w:p>
    <w:p>
      <w:pPr>
        <w:spacing w:after="60"/>
        <w:ind w:left="259"/>
      </w:pPr>
      <w:r>
        <w:rPr>
          <w:rFonts w:ascii="Consolas" w:hAnsi="Consolas"/>
          <w:color w:val="236B8E"/>
          <w:sz w:val="17"/>
        </w:rPr>
        <w:t>3. python -m venv .venv</w:t>
      </w:r>
    </w:p>
    <w:p>
      <w:pPr>
        <w:spacing w:after="60"/>
        <w:ind w:left="259"/>
      </w:pPr>
      <w:r>
        <w:rPr>
          <w:rFonts w:ascii="Consolas" w:hAnsi="Consolas"/>
          <w:color w:val="236B8E"/>
          <w:sz w:val="17"/>
        </w:rPr>
        <w:t>4. .venv\Scripts\Activate.ps1</w:t>
      </w:r>
    </w:p>
    <w:p>
      <w:pPr>
        <w:spacing w:after="60"/>
        <w:ind w:left="259"/>
      </w:pPr>
      <w:r>
        <w:rPr>
          <w:rFonts w:ascii="Consolas" w:hAnsi="Consolas"/>
          <w:color w:val="236B8E"/>
          <w:sz w:val="17"/>
        </w:rPr>
        <w:t>5. python -m pip install -r requirements.txt</w:t>
      </w:r>
    </w:p>
    <w:p>
      <w:pPr>
        <w:spacing w:after="60"/>
        <w:ind w:left="259"/>
      </w:pPr>
      <w:r>
        <w:rPr>
          <w:rFonts w:ascii="Consolas" w:hAnsi="Consolas"/>
          <w:color w:val="236B8E"/>
          <w:sz w:val="17"/>
        </w:rPr>
        <w:t>6. python -m streamlit run app.py --server.port 8502</w:t>
      </w:r>
    </w:p>
    <w:p>
      <w:r>
        <w:t>Open http://localhost:8502/ in a browser. The packaged .venv is intentionally omitted because virtual environments are tied to their original machine and Python installation. The ZIP includes source, model, generated data, example images, and the cached pretrained weights needed by the synthetic demo training script.</w:t>
      </w:r>
    </w:p>
    <w:p>
      <w:pPr>
        <w:pStyle w:val="Heading1"/>
        <w:pageBreakBefore/>
      </w:pPr>
      <w:r>
        <w:t>6. Limitations and Risks</w:t>
      </w:r>
    </w:p>
    <w:p>
      <w:pPr>
        <w:pStyle w:val="ListBullet"/>
        <w:spacing w:after="60"/>
      </w:pPr>
      <w:r>
        <w:t>The bundled classifier learned only seven broad classes from generated examples. It is not trained for real brands, package variants, or arbitrary store products.</w:t>
      </w:r>
    </w:p>
    <w:p>
      <w:pPr>
        <w:pStyle w:val="ListBullet"/>
        <w:spacing w:after="60"/>
      </w:pPr>
      <w:r>
        <w:t>The tiny synthetic test split is not a substitute for varied, independently collected, labeled shelf images.</w:t>
      </w:r>
    </w:p>
    <w:p>
      <w:pPr>
        <w:pStyle w:val="ListBullet"/>
        <w:spacing w:after="60"/>
      </w:pPr>
      <w:r>
        <w:t>OpenCV contour proposals are sensitive to lighting, texture, touching products, shelf boundaries, image angle, and package appearance. A box can include part of a shelf or multiple facings.</w:t>
      </w:r>
    </w:p>
    <w:p>
      <w:pPr>
        <w:pStyle w:val="ListBullet"/>
        <w:spacing w:after="60"/>
      </w:pPr>
      <w:r>
        <w:t>No trained TensorFlow/KerasHub RetinaNet artifact is included. Its training code requires annotated full-shelf bounding boxes and additional dependencies.</w:t>
      </w:r>
    </w:p>
    <w:p>
      <w:pPr>
        <w:pStyle w:val="ListBullet"/>
        <w:spacing w:after="60"/>
      </w:pPr>
      <w:r>
        <w:t>The app cannot infer stock behind visible packages. Possible empty planogram slots can also mean an occluded item or a missed candidate.</w:t>
      </w:r>
    </w:p>
    <w:p>
      <w:pPr>
        <w:pStyle w:val="ListBullet"/>
        <w:spacing w:after="60"/>
      </w:pPr>
      <w:r>
        <w:t>Store-specific use requires permissioned, licensed data, careful label review, split separation by store or collection session, and real held-out evaluation.</w:t>
      </w:r>
    </w:p>
    <w:p>
      <w:pPr>
        <w:pStyle w:val="Heading1"/>
      </w:pPr>
      <w:r>
        <w:t>7. Recommended Development Plan</w:t>
      </w:r>
    </w:p>
    <w:p>
      <w:pPr>
        <w:pStyle w:val="ListNumber"/>
        <w:spacing w:after="80"/>
      </w:pPr>
      <w:r>
        <w:t>Collect multiple real images per SKU with varied packages, angles, distances, lighting, and shelf backgrounds; document source permissions.</w:t>
      </w:r>
    </w:p>
    <w:p>
      <w:pPr>
        <w:pStyle w:val="ListNumber"/>
        <w:spacing w:after="80"/>
      </w:pPr>
      <w:r>
        <w:t>Verify every product crop label and group related images by capture session before assigning train, validation, and test splits.</w:t>
      </w:r>
    </w:p>
    <w:p>
      <w:pPr>
        <w:pStyle w:val="ListNumber"/>
        <w:spacing w:after="80"/>
      </w:pPr>
      <w:r>
        <w:t>Train the SKU classifier on the real data and report per-class precision, recall, F1, confusion matrix, and review coverage on the frozen test set.</w:t>
      </w:r>
    </w:p>
    <w:p>
      <w:pPr>
        <w:pStyle w:val="ListNumber"/>
        <w:spacing w:after="80"/>
      </w:pPr>
      <w:r>
        <w:t>Annotate whole-shelf boxes and shelf rows to train and evaluate the detector separately from the crop classifier.</w:t>
      </w:r>
    </w:p>
    <w:p>
      <w:pPr>
        <w:pStyle w:val="ListNumber"/>
        <w:spacing w:after="80"/>
      </w:pPr>
      <w:r>
        <w:t>Measure visible-facing count error and planogram outcomes against independently reviewed ground truth before making operational claims.</w:t>
      </w:r>
    </w:p>
    <w:p>
      <w:pPr>
        <w:pStyle w:val="Heading1"/>
      </w:pPr>
      <w:r>
        <w:t>Conclusion</w:t>
      </w:r>
    </w:p>
    <w:p>
      <w:r>
        <w:t>ShelfSight provides an end-to-end software prototype for shelf-photo review, classical region proposals, demo SKU classification, visible inventory summaries, and planogram checks. The bundled model and synthetic evaluation make the workflow runnable and inspectable. Real retail recognition quality remains unestablished until the project is trained and evaluated with representative, labeled store data.</w:t>
      </w:r>
    </w:p>
    <w:sectPr w:rsidR="00FC693F" w:rsidRPr="0006063C" w:rsidSect="00034616">
      <w:footerReference w:type="default" r:id="rId9"/>
      <w:pgSz w:w="11909" w:h="16834"/>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2616B"/>
        <w:sz w:val="16"/>
      </w:rPr>
      <w:t xml:space="preserve">ShelfSight  |  Technical Project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02A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36B8E"/>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2A8C8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 Shelf and Inventory Compliance Vision System Technical Project Report</dc:title>
  <dc:subject>ShelfSight project implementation, model, evaluation, and usage report</dc:subject>
  <dc:creator>Mohammed Aariff L</dc:creator>
  <cp:keywords>Retail shelf, inventory, OpenCV, TensorFlow, MobileNetV2, planogram</cp:keywords>
  <dc:description>Contact: lmohammedaariff@gmail.com</dc:description>
  <cp:lastModifiedBy/>
  <cp:revision>1</cp:revision>
  <dcterms:created xsi:type="dcterms:W3CDTF">2013-12-23T23:15:00Z</dcterms:created>
  <dcterms:modified xsi:type="dcterms:W3CDTF">2013-12-23T23:15:00Z</dcterms:modified>
  <cp:category/>
</cp:coreProperties>
</file>