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D090F" w14:textId="77777777" w:rsidR="004258BC" w:rsidRDefault="00000000">
      <w:pPr>
        <w:pStyle w:val="Titolo"/>
        <w:jc w:val="center"/>
      </w:pPr>
      <w:r>
        <w:t>MSc Thesis Defense</w:t>
      </w:r>
      <w:r>
        <w:br/>
        <w:t>Speaker Notes Only</w:t>
      </w:r>
    </w:p>
    <w:p w14:paraId="1D81408B" w14:textId="77777777" w:rsidR="004258BC" w:rsidRPr="00614540" w:rsidRDefault="00000000">
      <w:pPr>
        <w:jc w:val="center"/>
        <w:rPr>
          <w:lang w:val="it-IT"/>
        </w:rPr>
      </w:pPr>
      <w:r w:rsidRPr="00614540">
        <w:rPr>
          <w:b/>
          <w:lang w:val="it-IT"/>
        </w:rPr>
        <w:t>Lello Molinario</w:t>
      </w:r>
    </w:p>
    <w:p w14:paraId="0295E1E7" w14:textId="77777777" w:rsidR="004258BC" w:rsidRPr="00614540" w:rsidRDefault="00000000">
      <w:pPr>
        <w:jc w:val="center"/>
        <w:rPr>
          <w:lang w:val="it-IT"/>
        </w:rPr>
      </w:pPr>
      <w:proofErr w:type="spellStart"/>
      <w:r w:rsidRPr="00614540">
        <w:rPr>
          <w:lang w:val="it-IT"/>
        </w:rPr>
        <w:t>Main</w:t>
      </w:r>
      <w:proofErr w:type="spellEnd"/>
      <w:r w:rsidRPr="00614540">
        <w:rPr>
          <w:lang w:val="it-IT"/>
        </w:rPr>
        <w:t xml:space="preserve"> speech + backup Q&amp;A</w:t>
      </w:r>
    </w:p>
    <w:p w14:paraId="4B080062" w14:textId="77777777" w:rsidR="004258BC" w:rsidRPr="00614540" w:rsidRDefault="00000000">
      <w:pPr>
        <w:rPr>
          <w:lang w:val="it-IT"/>
        </w:rPr>
      </w:pPr>
      <w:r w:rsidRPr="00614540">
        <w:rPr>
          <w:lang w:val="it-IT"/>
        </w:rPr>
        <w:t xml:space="preserve">Estratto dalle note della presentazione caricata. Sono stati rimossi soltanto i promemoria fonetici tra parentesi e normalizzati evidenti artefatti di trascrizione; ordine, numeri, contenuti e </w:t>
      </w:r>
      <w:proofErr w:type="spellStart"/>
      <w:r w:rsidRPr="00614540">
        <w:rPr>
          <w:lang w:val="it-IT"/>
        </w:rPr>
        <w:t>claim</w:t>
      </w:r>
      <w:proofErr w:type="spellEnd"/>
      <w:r w:rsidRPr="00614540">
        <w:rPr>
          <w:lang w:val="it-IT"/>
        </w:rPr>
        <w:t xml:space="preserve"> restano quelli delle speaker notes.</w:t>
      </w:r>
    </w:p>
    <w:p w14:paraId="0D03828E" w14:textId="77777777" w:rsidR="004258BC" w:rsidRDefault="00000000">
      <w:pPr>
        <w:pStyle w:val="Titolo1"/>
      </w:pPr>
      <w:r>
        <w:t>1. Main presentation</w:t>
      </w:r>
    </w:p>
    <w:p w14:paraId="5AB4289F" w14:textId="77777777" w:rsidR="004258BC" w:rsidRDefault="00000000">
      <w:pPr>
        <w:pStyle w:val="Titolo2"/>
      </w:pPr>
      <w:r>
        <w:t>Slide 01 — Evaluating the Robustness of AI-Based Forensic Tools under Adversarial and Anti-Forensic Attacks</w:t>
      </w:r>
    </w:p>
    <w:p w14:paraId="7DC65C95" w14:textId="77777777" w:rsidR="004258BC" w:rsidRDefault="00000000">
      <w:r>
        <w:t>Good morning. My name is Lello Molinario, and today I will present my Master's thesis entitled “Evaluating the Robustness of AI-Based Forensic Tools under Adversarial and Anti-Forensic Attacks”.</w:t>
      </w:r>
    </w:p>
    <w:p w14:paraId="3DDAC341" w14:textId="364FA407" w:rsidR="004258BC" w:rsidRDefault="00000000">
      <w:r w:rsidRPr="00583478">
        <w:rPr>
          <w:b/>
          <w:bCs/>
        </w:rPr>
        <w:t xml:space="preserve">Artificial intelligence </w:t>
      </w:r>
      <w:proofErr w:type="gramStart"/>
      <w:r w:rsidRPr="00583478">
        <w:rPr>
          <w:b/>
          <w:bCs/>
        </w:rPr>
        <w:t>is increasingly</w:t>
      </w:r>
      <w:r w:rsidR="00583478">
        <w:rPr>
          <w:b/>
          <w:bCs/>
        </w:rPr>
        <w:t xml:space="preserve"> been</w:t>
      </w:r>
      <w:proofErr w:type="gramEnd"/>
      <w:r w:rsidRPr="00583478">
        <w:rPr>
          <w:b/>
          <w:bCs/>
        </w:rPr>
        <w:t xml:space="preserve"> integrated into digital forensic tools</w:t>
      </w:r>
      <w:r>
        <w:t xml:space="preserve"> to help investigators analyze and classify relevant data. </w:t>
      </w:r>
      <w:proofErr w:type="gramStart"/>
      <w:r>
        <w:t>However</w:t>
      </w:r>
      <w:proofErr w:type="gramEnd"/>
      <w:r w:rsidR="00583478">
        <w:t xml:space="preserve"> this raises </w:t>
      </w:r>
      <w:r>
        <w:t>an important question: what happens when the data analyzed by these systems are intentionally manipulated to evade detection?</w:t>
      </w:r>
    </w:p>
    <w:p w14:paraId="0C8169A9" w14:textId="77777777" w:rsidR="004258BC" w:rsidRDefault="00000000">
      <w:r>
        <w:t>The main goal of my thesis is to investigate the operational robustness of AI-based forensic tools under adversarial and anti-forensic conditions. To study this problem experimentally, I use automated image classification as a representative case study.</w:t>
      </w:r>
    </w:p>
    <w:p w14:paraId="5BBF3217" w14:textId="6B907BB0" w:rsidR="004258BC" w:rsidRDefault="00000000">
      <w:r>
        <w:rPr>
          <w:b/>
        </w:rPr>
        <w:t xml:space="preserve">Transition: </w:t>
      </w:r>
      <w:r>
        <w:rPr>
          <w:i/>
        </w:rPr>
        <w:t xml:space="preserve">I will start </w:t>
      </w:r>
      <w:r w:rsidR="00583478">
        <w:rPr>
          <w:i/>
        </w:rPr>
        <w:t xml:space="preserve">with </w:t>
      </w:r>
      <w:r>
        <w:rPr>
          <w:i/>
        </w:rPr>
        <w:t>the operational risk that motivated this work.</w:t>
      </w:r>
    </w:p>
    <w:p w14:paraId="50F170F3" w14:textId="77777777" w:rsidR="004258BC" w:rsidRDefault="00000000">
      <w:pPr>
        <w:pStyle w:val="Titolo2"/>
      </w:pPr>
      <w:r>
        <w:t>Slide 02 — The operational risk is silent exclusion</w:t>
      </w:r>
    </w:p>
    <w:p w14:paraId="29BA4FC9" w14:textId="77777777" w:rsidR="004258BC" w:rsidRDefault="00000000">
      <w:r>
        <w:t>Digital investigations may involve very large amounts of data, and AI-based tools can help investigators prioritize what should be reviewed first.</w:t>
      </w:r>
    </w:p>
    <w:p w14:paraId="6B93AC61" w14:textId="36F950D8" w:rsidR="004258BC" w:rsidRDefault="00000000">
      <w:r>
        <w:t xml:space="preserve">However, the main operational risk is a false negative. A </w:t>
      </w:r>
      <w:r w:rsidRPr="00583478">
        <w:rPr>
          <w:b/>
          <w:bCs/>
        </w:rPr>
        <w:t xml:space="preserve">false positive creates additional work for the analyst, </w:t>
      </w:r>
      <w:proofErr w:type="spellStart"/>
      <w:proofErr w:type="gramStart"/>
      <w:r w:rsidR="00583478" w:rsidRPr="00583478">
        <w:rPr>
          <w:b/>
          <w:bCs/>
        </w:rPr>
        <w:t>where</w:t>
      </w:r>
      <w:r w:rsidRPr="00583478">
        <w:rPr>
          <w:b/>
          <w:bCs/>
        </w:rPr>
        <w:t xml:space="preserve"> a</w:t>
      </w:r>
      <w:r w:rsidR="00583478" w:rsidRPr="00583478">
        <w:rPr>
          <w:b/>
          <w:bCs/>
        </w:rPr>
        <w:t>s</w:t>
      </w:r>
      <w:proofErr w:type="spellEnd"/>
      <w:proofErr w:type="gramEnd"/>
      <w:r w:rsidRPr="00583478">
        <w:rPr>
          <w:b/>
          <w:bCs/>
        </w:rPr>
        <w:t xml:space="preserve"> false negative may silently move relevant evidence out of the priority queue</w:t>
      </w:r>
      <w:r>
        <w:t>.</w:t>
      </w:r>
    </w:p>
    <w:p w14:paraId="1B4907B1" w14:textId="77777777" w:rsidR="004258BC" w:rsidRDefault="00000000">
      <w:r>
        <w:t>For this reason, good performance on clean data is not enough. The key question is how forensic triage behaves when the input is adversarial, anti-forensic, or out of distribution.</w:t>
      </w:r>
    </w:p>
    <w:p w14:paraId="5BB8CDEB" w14:textId="77777777" w:rsidR="004258BC" w:rsidRDefault="00000000">
      <w:r>
        <w:t>My contribution is therefore an auditable robustness assessment, not the development of a new firearm classifier.</w:t>
      </w:r>
    </w:p>
    <w:p w14:paraId="5BC08830" w14:textId="77777777" w:rsidR="004258BC" w:rsidRDefault="00000000">
      <w:r>
        <w:rPr>
          <w:b/>
        </w:rPr>
        <w:t xml:space="preserve">Transition: </w:t>
      </w:r>
      <w:r>
        <w:rPr>
          <w:i/>
        </w:rPr>
        <w:t xml:space="preserve">To evaluate this problem systematically, I designed the </w:t>
      </w:r>
      <w:proofErr w:type="spellStart"/>
      <w:r>
        <w:rPr>
          <w:i/>
        </w:rPr>
        <w:t>FAIRLab</w:t>
      </w:r>
      <w:proofErr w:type="spellEnd"/>
      <w:r>
        <w:rPr>
          <w:i/>
        </w:rPr>
        <w:t xml:space="preserve"> protocol.</w:t>
      </w:r>
    </w:p>
    <w:p w14:paraId="04356EC9" w14:textId="77777777" w:rsidR="004258BC" w:rsidRDefault="00000000">
      <w:pPr>
        <w:pStyle w:val="Titolo2"/>
      </w:pPr>
      <w:r>
        <w:t xml:space="preserve">Slide 03 — </w:t>
      </w:r>
      <w:proofErr w:type="spellStart"/>
      <w:r>
        <w:t>FAIRLab</w:t>
      </w:r>
      <w:proofErr w:type="spellEnd"/>
      <w:r>
        <w:t xml:space="preserve"> makes robustness auditable</w:t>
      </w:r>
    </w:p>
    <w:p w14:paraId="265FA92F" w14:textId="77777777" w:rsidR="004258BC" w:rsidRDefault="00000000">
      <w:proofErr w:type="spellStart"/>
      <w:r>
        <w:t>FAIRLab</w:t>
      </w:r>
      <w:proofErr w:type="spellEnd"/>
      <w:r>
        <w:t xml:space="preserve"> is the experimental protocol used to make </w:t>
      </w:r>
      <w:proofErr w:type="gramStart"/>
      <w:r>
        <w:t>the robustness</w:t>
      </w:r>
      <w:proofErr w:type="gramEnd"/>
      <w:r>
        <w:t xml:space="preserve"> assessment traceable and </w:t>
      </w:r>
      <w:r w:rsidRPr="00583478">
        <w:rPr>
          <w:b/>
          <w:bCs/>
        </w:rPr>
        <w:t>auditable</w:t>
      </w:r>
      <w:r>
        <w:t>.</w:t>
      </w:r>
    </w:p>
    <w:p w14:paraId="3EEA27D2" w14:textId="77777777" w:rsidR="004258BC" w:rsidRDefault="00000000">
      <w:r>
        <w:lastRenderedPageBreak/>
        <w:t xml:space="preserve">It connects six stages. I start from a </w:t>
      </w:r>
      <w:r w:rsidRPr="00583478">
        <w:rPr>
          <w:b/>
          <w:bCs/>
        </w:rPr>
        <w:t>heterogeneous</w:t>
      </w:r>
      <w:r>
        <w:t xml:space="preserve"> image pool, validate and </w:t>
      </w:r>
      <w:r w:rsidRPr="00583478">
        <w:rPr>
          <w:b/>
          <w:bCs/>
        </w:rPr>
        <w:t>deduplicate</w:t>
      </w:r>
      <w:r>
        <w:t xml:space="preserve"> it, and then freeze the source population. Next, I generate controlled perturbations, evaluate both transparent proxy models and commercial black-box configurations, normalize the observable outputs, and finally interpret the results in forensic terms.</w:t>
      </w:r>
    </w:p>
    <w:p w14:paraId="38068286" w14:textId="77777777" w:rsidR="004258BC" w:rsidRDefault="00000000">
      <w:r w:rsidRPr="00583478">
        <w:rPr>
          <w:b/>
          <w:bCs/>
        </w:rPr>
        <w:t>Traceability</w:t>
      </w:r>
      <w:r>
        <w:t xml:space="preserve"> is maintained throughout the process using deterministic identifiers, manifests, checksums, frozen configurations, and </w:t>
      </w:r>
      <w:r w:rsidRPr="00583478">
        <w:rPr>
          <w:b/>
          <w:bCs/>
        </w:rPr>
        <w:t>source-to-output links</w:t>
      </w:r>
      <w:r>
        <w:t>.</w:t>
      </w:r>
    </w:p>
    <w:p w14:paraId="6CCA2359" w14:textId="77777777" w:rsidR="004258BC" w:rsidRDefault="00000000">
      <w:r>
        <w:t>This is important because every reported result must be connected back to the original source and to the exact experimental condition.</w:t>
      </w:r>
    </w:p>
    <w:p w14:paraId="21BAF0EA" w14:textId="77777777" w:rsidR="004258BC" w:rsidRDefault="00000000">
      <w:r>
        <w:rPr>
          <w:b/>
        </w:rPr>
        <w:t xml:space="preserve">Transition: </w:t>
      </w:r>
      <w:r>
        <w:rPr>
          <w:i/>
        </w:rPr>
        <w:t>The next slide shows the exact experimental population behind every comparison.</w:t>
      </w:r>
    </w:p>
    <w:p w14:paraId="1BB903EC" w14:textId="77777777" w:rsidR="004258BC" w:rsidRDefault="00000000">
      <w:pPr>
        <w:pStyle w:val="Titolo2"/>
      </w:pPr>
      <w:r>
        <w:t>Slide 04 — One population becomes 11,500 traceable files</w:t>
      </w:r>
    </w:p>
    <w:p w14:paraId="37B943B6" w14:textId="77777777" w:rsidR="004258BC" w:rsidRDefault="00000000">
      <w:r>
        <w:t xml:space="preserve">The frozen population contains 1,500 source images: 500 </w:t>
      </w:r>
      <w:proofErr w:type="gramStart"/>
      <w:r>
        <w:t>weapon</w:t>
      </w:r>
      <w:proofErr w:type="gramEnd"/>
      <w:r>
        <w:t>, 500 non-weapon, and 500 images in a separate out-of-distribution branch.</w:t>
      </w:r>
    </w:p>
    <w:p w14:paraId="59676BCA" w14:textId="77777777" w:rsidR="004258BC" w:rsidRDefault="00000000">
      <w:r>
        <w:t>The 1,000 images belonging to the binary task are each linked to ten manipulated conditions, producing 10,000 adversarial and anti-forensic variants. Together with the 1,500 clean sources, the tool-facing bundle contains 11,500 files.</w:t>
      </w:r>
    </w:p>
    <w:p w14:paraId="6F9F19F1" w14:textId="77777777" w:rsidR="004258BC" w:rsidRDefault="00000000">
      <w:r>
        <w:t>An important point is that these 10,000 manipulated files are not independent cases. They remain source-condition variants linked to the original images. The OOD branch is also evaluated separately and is not treated as a third supervised class.</w:t>
      </w:r>
    </w:p>
    <w:p w14:paraId="45B33287" w14:textId="69568021" w:rsidR="004258BC" w:rsidRDefault="004258BC"/>
    <w:p w14:paraId="06A6482D" w14:textId="77777777" w:rsidR="004258BC" w:rsidRDefault="00000000">
      <w:pPr>
        <w:pStyle w:val="Titolo2"/>
      </w:pPr>
      <w:r>
        <w:t>Slide 05 — Weapon, non-weapon and OOD: distinct roles</w:t>
      </w:r>
    </w:p>
    <w:p w14:paraId="098210C4" w14:textId="77777777" w:rsidR="004258BC" w:rsidRDefault="00000000">
      <w:r>
        <w:t>Before moving to the tools, it is important to distinguish the three groups in the frozen source population.</w:t>
      </w:r>
    </w:p>
    <w:p w14:paraId="5DC9DF28" w14:textId="0187060D" w:rsidR="004258BC" w:rsidRDefault="00000000">
      <w:r>
        <w:t xml:space="preserve">Weapon and non-weapon form the supervised binary task. Weapon images contain a real firearm or firearm-like object that is sufficiently visible and relevant to the triage task. Non-weapon images are realistic negative samples with no firearm, but they still belong to the same visual </w:t>
      </w:r>
      <w:r w:rsidR="00D37A8F">
        <w:t>group</w:t>
      </w:r>
      <w:r>
        <w:t>.</w:t>
      </w:r>
    </w:p>
    <w:p w14:paraId="2482E4F7" w14:textId="740966AE" w:rsidR="004258BC" w:rsidRDefault="00000000">
      <w:r>
        <w:t>OOD is different. It is a separate evaluation branch containing borderline, synthetic, degraded, ambiguous, or semantically external inputs, such as toys</w:t>
      </w:r>
      <w:r w:rsidR="00D37A8F">
        <w:t xml:space="preserve">, </w:t>
      </w:r>
      <w:r>
        <w:t>replicas</w:t>
      </w:r>
      <w:r w:rsidR="00D37A8F">
        <w:t xml:space="preserve"> </w:t>
      </w:r>
      <w:r>
        <w:t>or war-related imagery.</w:t>
      </w:r>
    </w:p>
    <w:p w14:paraId="4C968CA1" w14:textId="60288B9A" w:rsidR="004258BC" w:rsidRDefault="00000000">
      <w:r>
        <w:t>So OOD is not a third supervised class</w:t>
      </w:r>
      <w:r w:rsidR="00D37A8F">
        <w:t>; it</w:t>
      </w:r>
      <w:r>
        <w:t xml:space="preserve"> is a </w:t>
      </w:r>
      <w:r w:rsidR="00D37A8F">
        <w:t xml:space="preserve">separate </w:t>
      </w:r>
      <w:r>
        <w:t>stress-test branch.</w:t>
      </w:r>
    </w:p>
    <w:p w14:paraId="469DDF78" w14:textId="77777777" w:rsidR="004258BC" w:rsidRDefault="00000000">
      <w:r>
        <w:rPr>
          <w:b/>
        </w:rPr>
        <w:t xml:space="preserve">Transition: </w:t>
      </w:r>
      <w:r>
        <w:rPr>
          <w:i/>
        </w:rPr>
        <w:t>With this distinction clear, I can now explain the two evidence levels used in the evaluation.</w:t>
      </w:r>
    </w:p>
    <w:p w14:paraId="3192D669" w14:textId="77777777" w:rsidR="004258BC" w:rsidRDefault="00000000">
      <w:pPr>
        <w:pStyle w:val="Titolo2"/>
      </w:pPr>
      <w:r>
        <w:t>Slide 06 — Two evidence levels, one experimental basis</w:t>
      </w:r>
    </w:p>
    <w:p w14:paraId="704A47A5" w14:textId="77777777" w:rsidR="00D37A8F" w:rsidRDefault="00D37A8F"/>
    <w:p w14:paraId="4592B84B" w14:textId="4803B450" w:rsidR="004258BC" w:rsidRDefault="00000000">
      <w:r>
        <w:t xml:space="preserve">The first level consists of three transparent, white-box-capable proxy models: EfficientNet-B0, ResNet18, and a CLIP-based supervised classifier. All three expose predictions, gradients, and fold-aware checkpoints; CLIP uses a frozen visual encoder and a supervised binary head.</w:t>
      </w:r>
      <w:r w:rsidRPr="00D37A8F">
        <w:rPr>
          <w:b/>
          <w:bCs/>
        </w:rPr>
        <w:t/>
      </w:r>
      <w:r w:rsidR="00D37A8F">
        <w:t xml:space="preserve"/>
      </w:r>
      <w:r>
        <w:t xml:space="preserve"/>
      </w:r>
    </w:p>
    <w:p w14:paraId="28B4F35C" w14:textId="77777777" w:rsidR="004258BC" w:rsidRDefault="00000000">
      <w:r>
        <w:t>The second level consists of four commercial black-box systems evaluated through six configurations. Here I can only observe analyst-visible outputs such as tags, bookmarks, labels, or semantic retrieval results.</w:t>
      </w:r>
    </w:p>
    <w:p w14:paraId="07C95816" w14:textId="77777777" w:rsidR="00DA6DA1" w:rsidRDefault="00000000">
      <w:r>
        <w:lastRenderedPageBreak/>
        <w:t xml:space="preserve">The GKC threat model specifies Goal: untargeted model-dependent misclassification. Knowledge: gradients for FGSM, Sigma Zero, and the internal SuperDeepFool adapter, and scores for One Pixel. Capability: constrained image changes at inference time. EfficientNet-B0 is the designated source model.</w:t>
      </w:r>
      <w:r w:rsidR="00DA6DA1">
        <w:t xml:space="preserve"/>
      </w:r>
      <w:r w:rsidR="00DA6DA1">
        <w:t xml:space="preserve"/>
      </w:r>
      <w:r>
        <w:t xml:space="preserve"/>
      </w:r>
    </w:p>
    <w:p w14:paraId="40E8C94B" w14:textId="7881DE99" w:rsidR="004258BC" w:rsidRDefault="00000000">
      <w:r>
        <w:t>The other proxies measure cross-model transfer, while commercial systems provide empirical responses to transferred artifacts. Color Shift and the five anti-forensic transformations are model-agnostic.</w:t>
      </w:r>
      <w:r w:rsidR="00DA6DA1">
        <w:t xml:space="preserve"/>
      </w:r>
      <w:r>
        <w:t/>
      </w:r>
    </w:p>
    <w:p w14:paraId="3D7F16EA" w14:textId="77777777" w:rsidR="004258BC" w:rsidRDefault="00000000">
      <w:r>
        <w:rPr>
          <w:b/>
        </w:rPr>
        <w:t xml:space="preserve">Transition: </w:t>
      </w:r>
      <w:r>
        <w:rPr>
          <w:i/>
        </w:rPr>
        <w:t>Because these systems expose different outputs, I need an explicit normalization step before comparing them.</w:t>
      </w:r>
    </w:p>
    <w:p w14:paraId="4F9EF296" w14:textId="77777777" w:rsidR="004258BC" w:rsidRDefault="00000000">
      <w:pPr>
        <w:pStyle w:val="Titolo2"/>
      </w:pPr>
      <w:r>
        <w:t>Slide 07 — Explicit mappings enable comparison</w:t>
      </w:r>
    </w:p>
    <w:p w14:paraId="222A5A0B" w14:textId="77777777" w:rsidR="004258BC" w:rsidRDefault="00000000">
      <w:r>
        <w:t>Commercial forensic tools do not expose one common prediction interface. Depending on the tool, the observable result may be a tag, a bookmark, a label, or a retrieval hit.</w:t>
      </w:r>
    </w:p>
    <w:p w14:paraId="4DCD0A33" w14:textId="37C2FEE9" w:rsidR="004258BC" w:rsidRDefault="00000000">
      <w:r>
        <w:t>For this reason, I</w:t>
      </w:r>
      <w:r w:rsidR="00DA6DA1">
        <w:t xml:space="preserve"> define and </w:t>
      </w:r>
      <w:r>
        <w:t xml:space="preserve"> freeze an output mapping for every tool version and configuration</w:t>
      </w:r>
      <w:r w:rsidR="00DA6DA1">
        <w:t>,</w:t>
      </w:r>
      <w:r>
        <w:t xml:space="preserve"> and</w:t>
      </w:r>
      <w:r w:rsidR="00DA6DA1">
        <w:t xml:space="preserve"> I </w:t>
      </w:r>
      <w:r>
        <w:t xml:space="preserve"> normalize each observable result into three operational states: weapon, non-weapon, or unknown.</w:t>
      </w:r>
    </w:p>
    <w:p w14:paraId="4E0D14D4" w14:textId="77777777" w:rsidR="004258BC" w:rsidRDefault="00000000">
      <w:r>
        <w:t>This allows directional errors to be compared consistently. The false-negative rate represents missed-target risk, while the false-positive rate represents additional review workload. OOD weapon assignment is reported separately because OOD images do not belong to the supervised binary task.</w:t>
      </w:r>
    </w:p>
    <w:p w14:paraId="66E4DBBC" w14:textId="77777777" w:rsidR="004258BC" w:rsidRDefault="00000000">
      <w:r>
        <w:t>In the final 69,000 normalized commercial decisions, no unknown state occurred, but the protocol keeps this state explicit rather than silently treating unsupported output as negative.</w:t>
      </w:r>
    </w:p>
    <w:p w14:paraId="74CEA983" w14:textId="77777777" w:rsidR="004258BC" w:rsidRDefault="00000000">
      <w:r>
        <w:rPr>
          <w:b/>
        </w:rPr>
        <w:t xml:space="preserve">Transition: </w:t>
      </w:r>
      <w:r>
        <w:rPr>
          <w:i/>
        </w:rPr>
        <w:t>With the comparison rules fixed, we can now examine the main results.</w:t>
      </w:r>
    </w:p>
    <w:p w14:paraId="374A0E36" w14:textId="77777777" w:rsidR="004258BC" w:rsidRDefault="00000000">
      <w:pPr>
        <w:pStyle w:val="Titolo2"/>
      </w:pPr>
      <w:r>
        <w:t>Slide 08 — Source-model collapse did not transfer uniformly</w:t>
      </w:r>
    </w:p>
    <w:p w14:paraId="0A641E07" w14:textId="77777777" w:rsidR="002622E4" w:rsidRPr="002622E4" w:rsidRDefault="002622E4" w:rsidP="002622E4">
      <w:r w:rsidRPr="002622E4">
        <w:rPr>
          <w:b/>
          <w:bCs/>
        </w:rPr>
        <w:t>This slide distinguishes source-model evaluation from cross-model transfer.</w:t>
      </w:r>
    </w:p>
    <w:p w14:paraId="3DE0A9D7" w14:textId="4EFDD44D" w:rsidR="002622E4" w:rsidRPr="002622E4" w:rsidRDefault="002622E4" w:rsidP="002622E4">
      <w:r w:rsidRPr="002622E4">
        <w:t xml:space="preserve">EfficientNet-B0 reaches </w:t>
      </w:r>
      <w:r w:rsidR="00DA6DA1">
        <w:t xml:space="preserve">almost hundred </w:t>
      </w:r>
      <w:r w:rsidRPr="002622E4">
        <w:t xml:space="preserve">percent accuracy on clean data. Under the strongest direct attack, Sigma Zero, accuracy falls </w:t>
      </w:r>
      <w:r w:rsidR="00DA6DA1">
        <w:t xml:space="preserve">down </w:t>
      </w:r>
      <w:r w:rsidRPr="002622E4">
        <w:t>to 1.5 percent.</w:t>
      </w:r>
    </w:p>
    <w:p w14:paraId="6EE078E4" w14:textId="00901792" w:rsidR="002622E4" w:rsidRPr="002622E4" w:rsidRDefault="002622E4" w:rsidP="002622E4">
      <w:r w:rsidRPr="002622E4">
        <w:t>However, these adversarial artifacts do not transfer uniformly</w:t>
      </w:r>
      <w:r w:rsidR="002E36FD">
        <w:t xml:space="preserve"> for </w:t>
      </w:r>
      <w:proofErr w:type="spellStart"/>
      <w:r w:rsidR="002E36FD">
        <w:t>istance</w:t>
      </w:r>
      <w:proofErr w:type="spellEnd"/>
      <w:r w:rsidR="002E36FD">
        <w:t xml:space="preserve"> in </w:t>
      </w:r>
      <w:r w:rsidRPr="002622E4">
        <w:t>ResNet18 and CLIP proxy.</w:t>
      </w:r>
    </w:p>
    <w:p w14:paraId="348AB039" w14:textId="77777777" w:rsidR="002622E4" w:rsidRPr="002622E4" w:rsidRDefault="002622E4" w:rsidP="002622E4">
      <w:proofErr w:type="gramStart"/>
      <w:r w:rsidRPr="002622E4">
        <w:t>These results show severe source-model vulnerability for EfficientNet-B0 and much smaller cross-model effects under the tested conditions. Limited transfer does not establish direct robustness of ResNet18 or CLIP because no attacks were optimized against them.</w:t>
      </w:r>
      <w:proofErr w:type="gramEnd"/>
      <w:r w:rsidRPr="002622E4">
        <w:t xml:space="preserve"/>
      </w:r>
    </w:p>
    <w:p w14:paraId="47975C0A" w14:textId="302A4963" w:rsidR="002622E4" w:rsidRPr="002622E4" w:rsidRDefault="00AF1777" w:rsidP="002622E4">
      <w:r w:rsidRPr="00AF1777">
        <w:rPr>
          <w:b/>
          <w:bCs/>
        </w:rPr>
        <w:t xml:space="preserve">Color Shift is analyzed separately because it is </w:t>
      </w:r>
      <w:proofErr w:type="gramStart"/>
      <w:r w:rsidRPr="00AF1777">
        <w:rPr>
          <w:b/>
          <w:bCs/>
        </w:rPr>
        <w:t>model-agnostic</w:t>
      </w:r>
      <w:proofErr w:type="gramEnd"/>
      <w:r w:rsidRPr="00AF1777">
        <w:rPr>
          <w:b/>
          <w:bCs/>
        </w:rPr>
        <w:t>. It is an adversarial-style perturbation, but it is not interpreted as direct or transferred attack success</w:t>
      </w:r>
      <w:r w:rsidR="002622E4" w:rsidRPr="002622E4">
        <w:rPr>
          <w:b/>
          <w:bCs/>
        </w:rPr>
        <w:t>.</w:t>
      </w:r>
    </w:p>
    <w:p w14:paraId="14B2C39A" w14:textId="2C02099E" w:rsidR="002622E4" w:rsidRPr="002622E4" w:rsidRDefault="002622E4" w:rsidP="002622E4">
      <w:r w:rsidRPr="002622E4">
        <w:t>The largest aggregate anti-forensic drop across the proxy models is smaller, although directional errors still need to be considered.</w:t>
      </w:r>
    </w:p>
    <w:p w14:paraId="2906A7DD" w14:textId="77777777" w:rsidR="002622E4" w:rsidRPr="002622E4" w:rsidRDefault="002622E4" w:rsidP="002622E4">
      <w:r w:rsidRPr="002622E4">
        <w:rPr>
          <w:b/>
          <w:bCs/>
        </w:rPr>
        <w:t>Transition: The commercial black-box results show configuration-dependent responses to the transferred artifacts.</w:t>
      </w:r>
      <w:r w:rsidRPr="002622E4">
        <w:t xml:space="preserve"/>
      </w:r>
      <w:r w:rsidRPr="002622E4">
        <w:rPr>
          <w:i/>
          <w:iCs/>
        </w:rPr>
        <w:t/>
      </w:r>
    </w:p>
    <w:p w14:paraId="51C2F4EE" w14:textId="77777777" w:rsidR="004258BC" w:rsidRDefault="00000000">
      <w:pPr>
        <w:pStyle w:val="Titolo2"/>
      </w:pPr>
      <w:r>
        <w:t>Slide 09 — Black-box responses depended on configuration</w:t>
      </w:r>
    </w:p>
    <w:p w14:paraId="5D2F5081" w14:textId="77777777" w:rsidR="004258BC" w:rsidRDefault="00000000">
      <w:r>
        <w:t>This heatmap summarizes empirical responses to EfficientNet-B0-generated artifacts across the commercial black-box configurations.</w:t>
      </w:r>
    </w:p>
    <w:p w14:paraId="7B304225" w14:textId="77777777" w:rsidR="004258BC" w:rsidRDefault="00000000">
      <w:r>
        <w:t>I would not interpret every cell individually. The important message is heterogeneity: artifacts generated against EfficientNet-B0 produce different effects across different tools and even across different settings of the same tool.</w:t>
      </w:r>
    </w:p>
    <w:p w14:paraId="05668B1E" w14:textId="46D96980" w:rsidR="004258BC" w:rsidRDefault="00000000">
      <w:r>
        <w:lastRenderedPageBreak/>
        <w:t xml:space="preserve">The largest observed accuracy changes occur for Sigma Zero artifacts on Excire D50 and D80, with drops of 20.2 and 25.8 percentage points.</w:t>
      </w:r>
      <w:proofErr w:type="spellStart"/>
      <w:r>
        <w:t/>
      </w:r>
      <w:proofErr w:type="spellEnd"/>
      <w:r>
        <w:t xml:space="preserve"/>
      </w:r>
      <w:r w:rsidR="002E36FD">
        <w:t xml:space="preserve"/>
      </w:r>
      <w:r>
        <w:t/>
      </w:r>
      <w:r w:rsidR="002E36FD">
        <w:t xml:space="preserve"/>
      </w:r>
      <w:r>
        <w:t/>
      </w:r>
    </w:p>
    <w:p w14:paraId="49F3B32C" w14:textId="05135750" w:rsidR="004258BC" w:rsidRDefault="00000000">
      <w:r>
        <w:t>These artifacts were generated on EfficientNet-B0, not optimized against the proprietary models. FGSM, Sigma Zero, and SuperDeepFool were exported as 224 × 224 PNGs, while clean inputs retained native formats and sizes; One Pixel also used PNG serialization. Without a representation-matched clean control, the observed response may combine perturbation, resizing, and serialization effects.</w:t>
      </w:r>
      <w:r w:rsidR="002E36FD">
        <w:t xml:space="preserve"/>
      </w:r>
      <w:r w:rsidR="002E36FD" w:rsidRPr="002E36FD">
        <w:rPr>
          <w:b/>
          <w:bCs/>
        </w:rPr>
        <w:t/>
      </w:r>
    </w:p>
    <w:p w14:paraId="252D7E72" w14:textId="77777777" w:rsidR="004258BC" w:rsidRDefault="00000000">
      <w:r>
        <w:t>For the same reason, this heatmap should be interpreted as a protocol-specific robustness profile, not as a universal ranking of products.</w:t>
      </w:r>
    </w:p>
    <w:p w14:paraId="5D589EA0" w14:textId="77777777" w:rsidR="004258BC" w:rsidRDefault="00000000">
      <w:r>
        <w:rPr>
          <w:b/>
        </w:rPr>
        <w:t xml:space="preserve">Transition: </w:t>
      </w:r>
      <w:r>
        <w:rPr>
          <w:i/>
        </w:rPr>
        <w:t>Configuration choices also change the ordinary clean-condition trade-off between misses and review workload.</w:t>
      </w:r>
    </w:p>
    <w:p w14:paraId="2BCA3758" w14:textId="77777777" w:rsidR="004258BC" w:rsidRDefault="00000000">
      <w:pPr>
        <w:pStyle w:val="Titolo2"/>
      </w:pPr>
      <w:r>
        <w:t>Slide 10 — A lower miss rate can create a larger review burden</w:t>
      </w:r>
    </w:p>
    <w:p w14:paraId="030FF0A3" w14:textId="77777777" w:rsidR="004258BC" w:rsidRDefault="00000000">
      <w:r>
        <w:t>This slide shows why one overall accuracy value is not enough for forensic triage.</w:t>
      </w:r>
    </w:p>
    <w:p w14:paraId="158F5E55" w14:textId="77777777" w:rsidR="004258BC" w:rsidRDefault="00000000">
      <w:r>
        <w:t xml:space="preserve">For </w:t>
      </w:r>
      <w:proofErr w:type="spellStart"/>
      <w:r>
        <w:t>Excire</w:t>
      </w:r>
      <w:proofErr w:type="spellEnd"/>
      <w:r>
        <w:t>, moving from distance 20 to distance 80 reduces the missed-target rate from 12.0 percent to 1.4 percent. This looks positive from the perspective of silent exclusion.</w:t>
      </w:r>
    </w:p>
    <w:p w14:paraId="38229070" w14:textId="77777777" w:rsidR="004258BC" w:rsidRDefault="00000000">
      <w:r>
        <w:t>However, the false-positive rate increases from 2.6 to 15.6 percent, creating substantially more review work. At the same time, the OOD weapon-assignment rate increases from 23.8 to 52.2 percent.</w:t>
      </w:r>
    </w:p>
    <w:p w14:paraId="210BF3F4" w14:textId="77777777" w:rsidR="004258BC" w:rsidRDefault="00000000">
      <w:proofErr w:type="gramStart"/>
      <w:r>
        <w:t>So</w:t>
      </w:r>
      <w:proofErr w:type="gramEnd"/>
      <w:r>
        <w:t xml:space="preserve"> no configuration simultaneously minimizes missed targets, review workload, and OOD assignments. The operating point must therefore be interpreted according to the forensic use case rather than by selecting a single headline metric.</w:t>
      </w:r>
    </w:p>
    <w:p w14:paraId="629A9441" w14:textId="77777777" w:rsidR="004258BC" w:rsidRDefault="00000000">
      <w:r>
        <w:rPr>
          <w:b/>
        </w:rPr>
        <w:t xml:space="preserve">Transition: </w:t>
      </w:r>
      <w:r>
        <w:rPr>
          <w:i/>
        </w:rPr>
        <w:t>The separate OOD branch makes this third type of behavior directly visible.</w:t>
      </w:r>
    </w:p>
    <w:p w14:paraId="5F367FCA" w14:textId="77777777" w:rsidR="004258BC" w:rsidRDefault="00000000">
      <w:pPr>
        <w:pStyle w:val="Titolo2"/>
      </w:pPr>
      <w:r>
        <w:t>Slide 11 — OOD images were still routed to weapon</w:t>
      </w:r>
    </w:p>
    <w:p w14:paraId="23F99BED" w14:textId="77777777" w:rsidR="004258BC" w:rsidRDefault="00000000">
      <w:r>
        <w:t>All evaluated systems assign at least some out-of-distribution images to the weapon-oriented state.</w:t>
      </w:r>
    </w:p>
    <w:p w14:paraId="51B8AA5D" w14:textId="68A9DEB0" w:rsidR="004258BC" w:rsidRDefault="00000000">
      <w:r>
        <w:t xml:space="preserve">These values must be interpreted carefully. OOD images are not part of the supervised weapon versus non-weapon task, so these are not ordinary supervised false-positive rates. </w:t>
      </w:r>
      <w:proofErr w:type="gramStart"/>
      <w:r w:rsidR="002E36FD">
        <w:t>Instead</w:t>
      </w:r>
      <w:proofErr w:type="gramEnd"/>
      <w:r w:rsidR="002E36FD">
        <w:t xml:space="preserve"> t</w:t>
      </w:r>
      <w:r>
        <w:t>hey describe closed-set operating behavior when the system is forced to process inputs outside the intended binary distribution.</w:t>
      </w:r>
    </w:p>
    <w:p w14:paraId="346C9105" w14:textId="77777777" w:rsidR="004258BC" w:rsidRDefault="00000000">
      <w:r>
        <w:t xml:space="preserve">For CLIP (Contrastive Language-Image Pre-training), the reported value aggregates </w:t>
      </w:r>
      <w:proofErr w:type="spellStart"/>
      <w:proofErr w:type="gramStart"/>
      <w:r>
        <w:t>five fold</w:t>
      </w:r>
      <w:proofErr w:type="spellEnd"/>
      <w:proofErr w:type="gramEnd"/>
      <w:r>
        <w:t>-specific responses for each of the 500 OOD images. Each commercial configuration instead produces one normalized decision per OOD image.</w:t>
      </w:r>
    </w:p>
    <w:p w14:paraId="4404417C" w14:textId="77777777" w:rsidR="004258BC" w:rsidRDefault="00000000">
      <w:r>
        <w:rPr>
          <w:b/>
        </w:rPr>
        <w:t xml:space="preserve">Transition: </w:t>
      </w:r>
      <w:r>
        <w:rPr>
          <w:i/>
        </w:rPr>
        <w:t>The next example shows why even a maximally concentrated model output does not guarantee correctness.</w:t>
      </w:r>
    </w:p>
    <w:p w14:paraId="725115A0" w14:textId="77777777" w:rsidR="004258BC" w:rsidRDefault="00000000">
      <w:pPr>
        <w:pStyle w:val="Titolo2"/>
      </w:pPr>
      <w:r>
        <w:t>Slide 12 — A maximally concentrated output can still be wrong</w:t>
      </w:r>
    </w:p>
    <w:p w14:paraId="3A5C3EE4" w14:textId="77777777" w:rsidR="004258BC" w:rsidRDefault="00000000">
      <w:r>
        <w:t>This is a qualitative explainability example from the transparent proxy analysis.</w:t>
      </w:r>
    </w:p>
    <w:p w14:paraId="7FE58964" w14:textId="26B89DDC" w:rsidR="004258BC" w:rsidRDefault="00000000">
      <w:r>
        <w:t>In case 0015, the reference class is non-weapon. After the Sigma Zero perturbation, the proxy predicts weapon with a maximum predicted-class probability</w:t>
      </w:r>
      <w:r w:rsidR="007A017A">
        <w:t>.</w:t>
      </w:r>
    </w:p>
    <w:p w14:paraId="23D4B5FE" w14:textId="77777777" w:rsidR="004258BC" w:rsidRDefault="00000000">
      <w:r>
        <w:t xml:space="preserve">Integrated Gradients </w:t>
      </w:r>
      <w:proofErr w:type="gramStart"/>
      <w:r>
        <w:t>is</w:t>
      </w:r>
      <w:proofErr w:type="gramEnd"/>
      <w:r>
        <w:t xml:space="preserve"> used here to inspect where the selected proxy response is concentrated. However, I deliberately keep the claim limited. The attribution is a diagnostic aid: it does not certify that the prediction is correct, it does not calibrate confidence, and it does not explain the internal behavior of proprietary black-box tools.</w:t>
      </w:r>
    </w:p>
    <w:p w14:paraId="3256A412" w14:textId="77777777" w:rsidR="004258BC" w:rsidRDefault="00000000">
      <w:r>
        <w:lastRenderedPageBreak/>
        <w:t>The important point is that a highly concentrated or apparently confident output can still be wrong.</w:t>
      </w:r>
    </w:p>
    <w:p w14:paraId="40E1155D" w14:textId="77777777" w:rsidR="004258BC" w:rsidRDefault="00000000">
      <w:r>
        <w:rPr>
          <w:b/>
        </w:rPr>
        <w:t xml:space="preserve">Transition: </w:t>
      </w:r>
      <w:r>
        <w:rPr>
          <w:i/>
        </w:rPr>
        <w:t>These findings lead to a simple operational principle for the use of AI in forensic triage.</w:t>
      </w:r>
    </w:p>
    <w:p w14:paraId="15FD6DED" w14:textId="77777777" w:rsidR="004258BC" w:rsidRDefault="00000000">
      <w:pPr>
        <w:pStyle w:val="Titolo2"/>
      </w:pPr>
      <w:r>
        <w:t>Slide 13 — Human review remains the final decision gate</w:t>
      </w:r>
    </w:p>
    <w:p w14:paraId="52FF97B0" w14:textId="77777777" w:rsidR="004258BC" w:rsidRDefault="00000000">
      <w:r>
        <w:t>AI can still provide substantial value in forensic workflows, but it should support prioritization rather than irreversible exclusion.</w:t>
      </w:r>
    </w:p>
    <w:p w14:paraId="326B19A6" w14:textId="77777777" w:rsidR="004258BC" w:rsidRDefault="00000000">
      <w:r>
        <w:t xml:space="preserve">The AI output can create a </w:t>
      </w:r>
      <w:r w:rsidRPr="007A017A">
        <w:rPr>
          <w:b/>
          <w:bCs/>
        </w:rPr>
        <w:t>prioritized</w:t>
      </w:r>
      <w:r>
        <w:t xml:space="preserve"> review queue and reduce workload. The human analyst then validates the result in context and makes the final decision.</w:t>
      </w:r>
    </w:p>
    <w:p w14:paraId="51C3BF8F" w14:textId="77777777" w:rsidR="004258BC" w:rsidRDefault="00000000">
      <w:r>
        <w:t>At the same time, each decision should preserve the tool version, configuration, output mapping, and validation context. This makes the workflow traceable and defensible.</w:t>
      </w:r>
    </w:p>
    <w:p w14:paraId="5D98AB03" w14:textId="77777777" w:rsidR="004258BC" w:rsidRDefault="00000000">
      <w:r>
        <w:t xml:space="preserve">The practical rule is therefore simple: use AI to </w:t>
      </w:r>
      <w:r w:rsidRPr="007A017A">
        <w:rPr>
          <w:b/>
          <w:bCs/>
        </w:rPr>
        <w:t>prioritize</w:t>
      </w:r>
      <w:r>
        <w:t xml:space="preserve"> evidence </w:t>
      </w:r>
      <w:proofErr w:type="gramStart"/>
      <w:r>
        <w:t>review, but</w:t>
      </w:r>
      <w:proofErr w:type="gramEnd"/>
      <w:r>
        <w:t xml:space="preserve"> never allow it to silently exclude potentially relevant evidence without human review.</w:t>
      </w:r>
    </w:p>
    <w:p w14:paraId="44E578AB" w14:textId="77777777" w:rsidR="004258BC" w:rsidRDefault="00000000">
      <w:r>
        <w:rPr>
          <w:b/>
        </w:rPr>
        <w:t xml:space="preserve">Transition: </w:t>
      </w:r>
      <w:r>
        <w:rPr>
          <w:i/>
        </w:rPr>
        <w:t>Before concluding, I will state the main boundaries of the study.</w:t>
      </w:r>
    </w:p>
    <w:p w14:paraId="32530526" w14:textId="77777777" w:rsidR="004258BC" w:rsidRDefault="00000000">
      <w:pPr>
        <w:pStyle w:val="Titolo2"/>
      </w:pPr>
      <w:r>
        <w:t>Slide 14 — Claim boundaries keep the result defensible</w:t>
      </w:r>
    </w:p>
    <w:p w14:paraId="38D189B8" w14:textId="77777777" w:rsidR="004258BC" w:rsidRDefault="00000000">
      <w:r>
        <w:t>The results should be interpreted within the boundaries of the frozen protocol.</w:t>
      </w:r>
    </w:p>
    <w:p w14:paraId="599D32BB" w14:textId="77777777" w:rsidR="004258BC" w:rsidRDefault="00000000">
      <w:r>
        <w:t>The main limitations are the 1,500-image corpus with one reviewer, one setting per perturbation, the bounded One Pixel search, and generation only on EfficientNet-B0. SuperDeepFool results concern an internal single-cycle L2 adapter rather than the full published method. Commercial responses also depend on tool version, configuration, output mapping, and representation differences from native clean inputs.</w:t>
      </w:r>
    </w:p>
    <w:p w14:paraId="7EB0166F" w14:textId="77777777" w:rsidR="004258BC" w:rsidRDefault="00000000">
      <w:r>
        <w:t>I also evaluated possible metadata sensitivity. Fifteen of the 11,500 files matched a predefined sensitive metadata term. The leave-out differences were small, but this does not prove that metadata was causally irrelevant to every individual decision.</w:t>
      </w:r>
    </w:p>
    <w:p w14:paraId="44598CBF" w14:textId="77777777" w:rsidR="004258BC" w:rsidRDefault="00000000">
      <w:r>
        <w:t>Finally, this work evaluates operational triage robustness. It does not claim legal admissibility, certification, or a universal ranking of commercial products.</w:t>
      </w:r>
    </w:p>
    <w:p w14:paraId="3A794EEF" w14:textId="77777777" w:rsidR="004258BC" w:rsidRDefault="00000000">
      <w:r>
        <w:rPr>
          <w:b/>
        </w:rPr>
        <w:t xml:space="preserve">Transition: </w:t>
      </w:r>
      <w:r>
        <w:rPr>
          <w:i/>
        </w:rPr>
        <w:t>I will finish with three messages to remember.</w:t>
      </w:r>
    </w:p>
    <w:p w14:paraId="5AD5EE9B" w14:textId="77777777" w:rsidR="004258BC" w:rsidRDefault="00000000">
      <w:pPr>
        <w:pStyle w:val="Titolo2"/>
      </w:pPr>
      <w:r>
        <w:t>Slide 15 — AI can prioritize evidence; it must not silently exclude it.</w:t>
      </w:r>
    </w:p>
    <w:p w14:paraId="26E4E4B4" w14:textId="77777777" w:rsidR="004258BC" w:rsidRDefault="00000000">
      <w:r>
        <w:t>I would like to conclude with three points.</w:t>
      </w:r>
    </w:p>
    <w:p w14:paraId="36268E0E" w14:textId="77777777" w:rsidR="004258BC" w:rsidRDefault="00000000">
      <w:r>
        <w:t>First, clean performance is only the baseline. Robustness is condition-dependent, so clean accuracy alone is not sufficient.</w:t>
      </w:r>
    </w:p>
    <w:p w14:paraId="00247F90" w14:textId="77777777" w:rsidR="004258BC" w:rsidRDefault="00000000">
      <w:r>
        <w:t>Second, source-model evaluation, cross-model transfer, commercial responses, out-of-distribution behavior, and configuration trade-offs are different dimensions and should be interpreted separately.</w:t>
      </w:r>
    </w:p>
    <w:p w14:paraId="133E6DF0" w14:textId="77777777" w:rsidR="004258BC" w:rsidRDefault="00000000">
      <w:r>
        <w:t xml:space="preserve">Third, </w:t>
      </w:r>
      <w:proofErr w:type="spellStart"/>
      <w:r>
        <w:t>FAIRLab</w:t>
      </w:r>
      <w:proofErr w:type="spellEnd"/>
      <w:r>
        <w:t xml:space="preserve"> makes these dimensions traceable, auditable, and reviewable by a forensic expert.</w:t>
      </w:r>
    </w:p>
    <w:p w14:paraId="5D0C539F" w14:textId="77777777" w:rsidR="004258BC" w:rsidRDefault="00000000">
      <w:r>
        <w:t>The final message of the thesis is therefore: AI can prioritize evidence, but it must not silently exclude it.</w:t>
      </w:r>
    </w:p>
    <w:p w14:paraId="3CF0F540" w14:textId="77777777" w:rsidR="004258BC" w:rsidRDefault="00000000">
      <w:r>
        <w:rPr>
          <w:b/>
        </w:rPr>
        <w:t xml:space="preserve">Transition: </w:t>
      </w:r>
      <w:r>
        <w:rPr>
          <w:i/>
        </w:rPr>
        <w:t>Thank you for your attention.</w:t>
      </w:r>
    </w:p>
    <w:p w14:paraId="02FD7949" w14:textId="77777777" w:rsidR="004258BC" w:rsidRDefault="00000000">
      <w:pPr>
        <w:pStyle w:val="Titolo1"/>
      </w:pPr>
      <w:r>
        <w:lastRenderedPageBreak/>
        <w:t>Closing / Q&amp;A</w:t>
      </w:r>
    </w:p>
    <w:p w14:paraId="5122A19C" w14:textId="77777777" w:rsidR="004258BC" w:rsidRDefault="00000000">
      <w:pPr>
        <w:pStyle w:val="Titolo2"/>
      </w:pPr>
      <w:r>
        <w:t>Slide 16 — Thank you / Questions</w:t>
      </w:r>
    </w:p>
    <w:p w14:paraId="389ED170" w14:textId="77777777" w:rsidR="004258BC" w:rsidRDefault="00000000">
      <w:r>
        <w:t>Thank you for your attention. I am happy to answer your questions.</w:t>
      </w:r>
    </w:p>
    <w:p w14:paraId="0048F033" w14:textId="77777777" w:rsidR="004258BC" w:rsidRDefault="00000000">
      <w:r>
        <w:br w:type="page"/>
      </w:r>
    </w:p>
    <w:p w14:paraId="09338BC1" w14:textId="77777777" w:rsidR="004258BC" w:rsidRDefault="00000000">
      <w:pPr>
        <w:pStyle w:val="Titolo1"/>
      </w:pPr>
      <w:r>
        <w:lastRenderedPageBreak/>
        <w:t>2. Backup slides — Commission Q&amp;A</w:t>
      </w:r>
    </w:p>
    <w:p w14:paraId="19851993" w14:textId="77777777" w:rsidR="004258BC" w:rsidRDefault="00000000">
      <w:pPr>
        <w:pStyle w:val="Titolo2"/>
      </w:pPr>
      <w:r>
        <w:t>Backup B1 — Research questions and claim scope</w:t>
      </w:r>
    </w:p>
    <w:p w14:paraId="2232CF92" w14:textId="77777777" w:rsidR="004258BC" w:rsidRDefault="00000000">
      <w:r>
        <w:rPr>
          <w:b/>
        </w:rPr>
        <w:t xml:space="preserve">Use when: </w:t>
      </w:r>
      <w:r>
        <w:t>The commission asks: “What are your formal research questions?” or “What exactly does the thesis claim?”</w:t>
      </w:r>
    </w:p>
    <w:p w14:paraId="1251E0F5" w14:textId="77777777" w:rsidR="004258BC" w:rsidRDefault="00000000">
      <w:r>
        <w:rPr>
          <w:b/>
        </w:rPr>
        <w:t>Answer:</w:t>
      </w:r>
    </w:p>
    <w:p w14:paraId="6A2FC8B7" w14:textId="77777777" w:rsidR="004258BC" w:rsidRDefault="00000000">
      <w:r>
        <w:t>The thesis has four research questions. RQ1 evaluates proxy behavior under separate OOD, adversarial, and anti-forensic conditions. RQ2 compares proxy responses under source-model evaluation, empirical cross-model transfer, and model-agnostic Color Shift. RQ3 examines black-box outputs and configuration-dependent profiles. RQ4 addresses directional errors, degradations, OOD assignments, and unknown states relevant to continued human review.</w:t>
      </w:r>
    </w:p>
    <w:p w14:paraId="46341565" w14:textId="77777777" w:rsidR="004258BC" w:rsidRDefault="00000000">
      <w:r>
        <w:t>The claim scope is deliberately limited: this is an operational robustness assessment under one frozen and traceable protocol. It is not a certification, a legal-admissibility assessment, or a universal product ranking.</w:t>
      </w:r>
    </w:p>
    <w:p w14:paraId="57259E0E" w14:textId="77777777" w:rsidR="004258BC" w:rsidRDefault="00000000">
      <w:r>
        <w:rPr>
          <w:b/>
        </w:rPr>
        <w:t xml:space="preserve">Keywords: RQ1 conditions → RQ2 source evaluation / cross-model transfer / Color Shift → RQ3 configurations → RQ4 directional errors</w:t>
      </w:r>
      <w:r>
        <w:rPr>
          <w:i/>
        </w:rPr>
        <w:t/>
      </w:r>
    </w:p>
    <w:p w14:paraId="592D5B2C" w14:textId="77777777" w:rsidR="004258BC" w:rsidRDefault="00000000">
      <w:pPr>
        <w:pStyle w:val="Titolo2"/>
      </w:pPr>
      <w:r>
        <w:t>Backup B2 — GKC threat model and perturbation suite</w:t>
      </w:r>
    </w:p>
    <w:p w14:paraId="3C0F89E4" w14:textId="77777777" w:rsidR="004258BC" w:rsidRDefault="00000000">
      <w:r>
        <w:rPr>
          <w:b/>
        </w:rPr>
        <w:t xml:space="preserve">Use when: </w:t>
      </w:r>
      <w:r>
        <w:t>The commission asks: “What is your threat model?” or “Which attacks and transformations did you evaluate?”</w:t>
      </w:r>
    </w:p>
    <w:p w14:paraId="3B29C0AD" w14:textId="77777777" w:rsidR="004258BC" w:rsidRDefault="00000000">
      <w:r>
        <w:rPr>
          <w:b/>
        </w:rPr>
        <w:t>Answer:</w:t>
      </w:r>
    </w:p>
    <w:p w14:paraId="4BD18650" w14:textId="77777777" w:rsidR="004258BC" w:rsidRDefault="00000000">
      <w:r>
        <w:t xml:space="preserve">The adversarial or adversarial-style group includes FGSM, One Pixel, Sigma Zero, </w:t>
      </w:r>
      <w:proofErr w:type="spellStart"/>
      <w:r>
        <w:t>SuperDeepFool</w:t>
      </w:r>
      <w:proofErr w:type="spellEnd"/>
      <w:r>
        <w:t>, and deterministic Color Shift. The anti-forensic group includes JPEG recompression, resampling or resize, Gaussian blur, histogram modification, and contrast stretching.</w:t>
      </w:r>
    </w:p>
    <w:p w14:paraId="401A8042" w14:textId="77777777" w:rsidR="004258BC" w:rsidRDefault="00000000">
      <w:r>
        <w:t>The adversarial threat model uses Goal, Knowledge, and Capability. Goal: the model-dependent attacks seek untargeted misclassification. Knowledge: FGSM, Sigma Zero, and the internal SuperDeepFool adapter use gradients, while One Pixel uses scores. Capability: the attacker modifies image inputs at inference time within the constraints of each condition, without altering model training. All three proxies are inspectable and white-box-capable, but only EfficientNet-B0 was used for model-dependent generation. ResNet18 and CLIP measure cross-model transfer; commercial systems provide empirical responses. Color Shift and the anti-forensic transformations are model-agnostic, with anti-forensics evaluated separately from adversarial attacks.</w:t>
      </w:r>
    </w:p>
    <w:p w14:paraId="53B72B9B" w14:textId="77777777" w:rsidR="004258BC" w:rsidRDefault="00000000">
      <w:r>
        <w:rPr>
          <w:b/>
        </w:rPr>
        <w:t xml:space="preserve">Keywords: Goal: untargeted errors → Knowledge: gradient / score / model-agnostic → Capability: constrained evasion → source / transfer / commercial response</w:t>
      </w:r>
      <w:r>
        <w:rPr>
          <w:i/>
        </w:rPr>
        <w:t/>
      </w:r>
    </w:p>
    <w:p w14:paraId="3510CC06" w14:textId="77777777" w:rsidR="004258BC" w:rsidRDefault="00000000">
      <w:pPr>
        <w:pStyle w:val="Titolo2"/>
      </w:pPr>
      <w:r>
        <w:t>Backup B3 — Traceability links sources to reported figures</w:t>
      </w:r>
    </w:p>
    <w:p w14:paraId="606FDF8A" w14:textId="77777777" w:rsidR="004258BC" w:rsidRDefault="00000000">
      <w:r>
        <w:rPr>
          <w:b/>
        </w:rPr>
        <w:t xml:space="preserve">Use when: </w:t>
      </w:r>
      <w:r>
        <w:t>The commission asks: “How can a reported result be audited?” or “How reproducible is the experiment?”</w:t>
      </w:r>
    </w:p>
    <w:p w14:paraId="3EDF9769" w14:textId="77777777" w:rsidR="004258BC" w:rsidRDefault="00000000">
      <w:r>
        <w:rPr>
          <w:b/>
        </w:rPr>
        <w:t>Answer:</w:t>
      </w:r>
    </w:p>
    <w:p w14:paraId="22C06EAA" w14:textId="77777777" w:rsidR="004258BC" w:rsidRDefault="00000000">
      <w:r>
        <w:t xml:space="preserve">A reported result can be followed through a complete chain. I start </w:t>
      </w:r>
      <w:proofErr w:type="gramStart"/>
      <w:r>
        <w:t>from</w:t>
      </w:r>
      <w:proofErr w:type="gramEnd"/>
      <w:r>
        <w:t xml:space="preserve"> the source manifest and manual review, then use the source-condition identifier to link the derived variant. From there I can identify the proxy prediction or normalized commercial output, the metric table, and finally the figure or conclusion reported in the thesis.</w:t>
      </w:r>
    </w:p>
    <w:p w14:paraId="4B62293A" w14:textId="77777777" w:rsidR="004258BC" w:rsidRDefault="00000000">
      <w:r>
        <w:lastRenderedPageBreak/>
        <w:t>Integrity is supported by SHA-256 digests, frozen model and tool-version registries, frozen configurations, and explicit normalization rules. The repository scripts regenerate the main metrics and thesis-ready reporting assets.</w:t>
      </w:r>
    </w:p>
    <w:p w14:paraId="0FD47C20" w14:textId="77777777" w:rsidR="004258BC" w:rsidRDefault="00000000">
      <w:r>
        <w:rPr>
          <w:b/>
        </w:rPr>
        <w:t xml:space="preserve">Keywords: </w:t>
      </w:r>
      <w:r>
        <w:rPr>
          <w:i/>
        </w:rPr>
        <w:t>source → derivation → decision → metric → report → SHA-256 → frozen registries</w:t>
      </w:r>
    </w:p>
    <w:p w14:paraId="65AA9A3C" w14:textId="77777777" w:rsidR="004258BC" w:rsidRDefault="00000000">
      <w:pPr>
        <w:pStyle w:val="Titolo2"/>
      </w:pPr>
      <w:r>
        <w:t>Backup B4 — Commercial clean metrics and OOD behavior</w:t>
      </w:r>
    </w:p>
    <w:p w14:paraId="5CEBDBFE" w14:textId="77777777" w:rsidR="004258BC" w:rsidRDefault="00000000">
      <w:r>
        <w:rPr>
          <w:b/>
        </w:rPr>
        <w:t xml:space="preserve">Use when: </w:t>
      </w:r>
      <w:r>
        <w:t>The commission asks for an exact number or compares two commercial configurations.</w:t>
      </w:r>
    </w:p>
    <w:p w14:paraId="5F638433" w14:textId="77777777" w:rsidR="004258BC" w:rsidRDefault="00000000">
      <w:r>
        <w:rPr>
          <w:b/>
        </w:rPr>
        <w:t>Answer:</w:t>
      </w:r>
    </w:p>
    <w:p w14:paraId="07D38C12" w14:textId="77777777" w:rsidR="004258BC" w:rsidRDefault="00000000">
      <w:r>
        <w:t>This table reports clean binary accuracy, recall, false-negative rate, false-positive rate, and a separate OOD weapon-assignment rate for each frozen configuration.</w:t>
      </w:r>
    </w:p>
    <w:p w14:paraId="59B14576" w14:textId="77777777" w:rsidR="004258BC" w:rsidRDefault="00000000">
      <w:r>
        <w:t xml:space="preserve">For example, </w:t>
      </w:r>
      <w:proofErr w:type="spellStart"/>
      <w:r>
        <w:t>Griffeye</w:t>
      </w:r>
      <w:proofErr w:type="spellEnd"/>
      <w:r>
        <w:t xml:space="preserve">/T3K has 97.8 percent clean accuracy and 0.8 percent FPR in this protocol, while </w:t>
      </w:r>
      <w:proofErr w:type="spellStart"/>
      <w:r>
        <w:t>Excire</w:t>
      </w:r>
      <w:proofErr w:type="spellEnd"/>
      <w:r>
        <w:t xml:space="preserve"> D80 has the lowest FNR at 1.4 percent but a much higher FPR of 15.6 percent and an OOD weapon-assignment rate of 52.2 percent.</w:t>
      </w:r>
    </w:p>
    <w:p w14:paraId="00C29F2E" w14:textId="77777777" w:rsidR="004258BC" w:rsidRDefault="00000000">
      <w:r>
        <w:t>I would not use the table to declare a universally best product. These rows describe operating profiles under specific tool versions, settings, mappings, and one frozen dataset.</w:t>
      </w:r>
    </w:p>
    <w:p w14:paraId="45615CFC" w14:textId="77777777" w:rsidR="004258BC" w:rsidRDefault="00000000">
      <w:r>
        <w:rPr>
          <w:b/>
        </w:rPr>
        <w:t xml:space="preserve">Keywords: </w:t>
      </w:r>
      <w:r>
        <w:rPr>
          <w:i/>
        </w:rPr>
        <w:t>exact numbers → clean and OOD separate → operating profiles → no universal ranking</w:t>
      </w:r>
    </w:p>
    <w:p w14:paraId="43390F02" w14:textId="77777777" w:rsidR="004258BC" w:rsidRDefault="00000000">
      <w:pPr>
        <w:pStyle w:val="Titolo2"/>
      </w:pPr>
      <w:r>
        <w:t>Backup B5 — Fixed adversarial settings and claim boundaries</w:t>
      </w:r>
    </w:p>
    <w:p w14:paraId="7F018E66" w14:textId="77777777" w:rsidR="004258BC" w:rsidRDefault="00000000">
      <w:r>
        <w:rPr>
          <w:b/>
        </w:rPr>
        <w:t xml:space="preserve">Use when: </w:t>
      </w:r>
      <w:r>
        <w:t>The commission asks: “Which attack parameters did you use?” or “Were the attacks reproducible?”</w:t>
      </w:r>
    </w:p>
    <w:p w14:paraId="79C0D49D" w14:textId="77777777" w:rsidR="004258BC" w:rsidRDefault="00000000">
      <w:r>
        <w:rPr>
          <w:b/>
        </w:rPr>
        <w:t>Answer:</w:t>
      </w:r>
    </w:p>
    <w:p w14:paraId="75A98B16" w14:textId="77777777" w:rsidR="004258BC" w:rsidRDefault="00000000">
      <w:r>
        <w:t>FGSM uses a fixed epsilon of 8/255, with precedent in RobustBench CIFAR evaluation; this is not a forensic standard, and no epsilon sweep was performed. One Pixel uses score-based Differential Evolution over x, y, R, G, and B, with 50 maximum iterations, 100 candidates, seed 42, and stopping at a generation boundary after misclassification. This is a smaller budget than the original 400-candidate, 100-iteration setting; limited effectiveness does not establish general robustness.</w:t>
      </w:r>
    </w:p>
    <w:p w14:paraId="0449B52B" w14:textId="77777777" w:rsidR="004258BC" w:rsidRDefault="00000000">
      <w:r>
        <w:t xml:space="preserve">Sigma Zero uses the defaults of the pinned adversarial-library reference function: 1,000 steps, eta zero 1.0, sigma 0.001, tau zero 0.3, threshold factor 0.01, and infinity-norm gradient normalization. The internal SuperDeepFool adapter uses L2 geometry, at most 50 DeepFool iterations, and one projection. Although the configured outer cap is 20, all 1,000 records show one executed cycle; failed projection falls back to the boundary point. This differs from the repeated boundary/projection procedure of published SDF infinity-one. Infinity denotes the inner iteration variant, not an L-infinity perturbation norm. Results describe this bounded internal adapter; Color Shift remains model-agnostic.</w:t>
      </w:r>
      <w:proofErr w:type="spellStart"/>
      <w:r>
        <w:t/>
      </w:r>
      <w:proofErr w:type="spellEnd"/>
      <w:r>
        <w:t xml:space="preserve"/>
      </w:r>
      <w:proofErr w:type="spellStart"/>
      <w:r>
        <w:t/>
      </w:r>
      <w:proofErr w:type="spellEnd"/>
      <w:r>
        <w:t xml:space="preserve"/>
      </w:r>
    </w:p>
    <w:p w14:paraId="1AB7F4EF" w14:textId="77777777" w:rsidR="004258BC" w:rsidRDefault="00000000">
      <w:r>
        <w:rPr>
          <w:b/>
        </w:rPr>
        <w:t xml:space="preserve">Keywords: FGSM fixed 8/255 → One Pixel bounded 50/100 → Sigma Zero reference defaults → SDF internal L2 / one cycle</w:t>
      </w:r>
      <w:r>
        <w:rPr>
          <w:i/>
        </w:rPr>
        <w:t xml:space="preserve"/>
      </w:r>
      <w:proofErr w:type="spellStart"/>
      <w:r>
        <w:rPr>
          <w:i/>
        </w:rPr>
        <w:t/>
      </w:r>
      <w:proofErr w:type="spellEnd"/>
      <w:r>
        <w:rPr>
          <w:i/>
        </w:rPr>
        <w:t xml:space="preserve"/>
      </w:r>
    </w:p>
    <w:p w14:paraId="1E3C4526" w14:textId="77777777" w:rsidR="004258BC" w:rsidRDefault="00000000">
      <w:pPr>
        <w:pStyle w:val="Titolo2"/>
      </w:pPr>
      <w:r>
        <w:t>Backup B6 — Frozen anti-forensic settings</w:t>
      </w:r>
    </w:p>
    <w:p w14:paraId="093591DC" w14:textId="77777777" w:rsidR="004258BC" w:rsidRDefault="00000000">
      <w:r>
        <w:rPr>
          <w:b/>
        </w:rPr>
        <w:t xml:space="preserve">Use when: </w:t>
      </w:r>
      <w:r>
        <w:t>The commission asks: “How did you control the anti-forensic transformations?”</w:t>
      </w:r>
    </w:p>
    <w:p w14:paraId="67294A3C" w14:textId="77777777" w:rsidR="004258BC" w:rsidRDefault="00000000">
      <w:r>
        <w:rPr>
          <w:b/>
        </w:rPr>
        <w:t>Answer:</w:t>
      </w:r>
    </w:p>
    <w:p w14:paraId="3611CB2C" w14:textId="77777777" w:rsidR="004258BC" w:rsidRDefault="00000000">
      <w:r>
        <w:t xml:space="preserve">Each anti-forensic condition uses one frozen, model-agnostic setting. JPEG recompression uses quality 70 without changing dimensions. Resize </w:t>
      </w:r>
      <w:proofErr w:type="spellStart"/>
      <w:r>
        <w:t>downsamples</w:t>
      </w:r>
      <w:proofErr w:type="spellEnd"/>
      <w:r>
        <w:t xml:space="preserve"> to 50 percent and </w:t>
      </w:r>
      <w:proofErr w:type="gramStart"/>
      <w:r>
        <w:t>restores</w:t>
      </w:r>
      <w:proofErr w:type="gramEnd"/>
      <w:r>
        <w:t xml:space="preserve"> the original size with bicubic interpolation. Gaussian blur uses radius 1.5. Histogram modification applies per-channel equalization, while contrast stretching uses </w:t>
      </w:r>
      <w:proofErr w:type="spellStart"/>
      <w:r>
        <w:t>autocontrast</w:t>
      </w:r>
      <w:proofErr w:type="spellEnd"/>
      <w:r>
        <w:t xml:space="preserve"> with a 1 percent cutoff.</w:t>
      </w:r>
    </w:p>
    <w:p w14:paraId="63AC159F" w14:textId="77777777" w:rsidR="004258BC" w:rsidRDefault="00000000">
      <w:r>
        <w:lastRenderedPageBreak/>
        <w:t>The other transformations use JPEG quality 95. Each condition contains 1,000 source-linked artifacts for controlled paired comparison at one predefined setting. These results characterize the tested conditions, not a complete severity-response curve.</w:t>
      </w:r>
    </w:p>
    <w:p w14:paraId="5BC66F45" w14:textId="77777777" w:rsidR="004258BC" w:rsidRDefault="00000000">
      <w:r>
        <w:rPr>
          <w:b/>
        </w:rPr>
        <w:t xml:space="preserve">Keywords: </w:t>
      </w:r>
      <w:r>
        <w:rPr>
          <w:i/>
        </w:rPr>
        <w:t xml:space="preserve">JPEG q70 → resize 50% bicubic → blur 1.5 → histogram equalization → </w:t>
      </w:r>
      <w:proofErr w:type="spellStart"/>
      <w:r>
        <w:rPr>
          <w:i/>
        </w:rPr>
        <w:t>autocontrast</w:t>
      </w:r>
      <w:proofErr w:type="spellEnd"/>
      <w:r>
        <w:rPr>
          <w:i/>
        </w:rPr>
        <w:t xml:space="preserve"> 1% → frozen/model-agnostic</w:t>
      </w:r>
    </w:p>
    <w:p w14:paraId="66A7833B" w14:textId="77777777" w:rsidR="004258BC" w:rsidRDefault="00000000">
      <w:pPr>
        <w:pStyle w:val="Titolo2"/>
      </w:pPr>
      <w:r>
        <w:t>Backup B7 — How heterogeneous outputs became comparable</w:t>
      </w:r>
    </w:p>
    <w:p w14:paraId="43624E1E" w14:textId="77777777" w:rsidR="004258BC" w:rsidRDefault="00000000">
      <w:r>
        <w:rPr>
          <w:b/>
        </w:rPr>
        <w:t xml:space="preserve">Use when: </w:t>
      </w:r>
      <w:r>
        <w:t>The commission asks: “How did you compare tools that produce different kinds of outputs?”</w:t>
      </w:r>
    </w:p>
    <w:p w14:paraId="2D5BAD04" w14:textId="77777777" w:rsidR="004258BC" w:rsidRDefault="00000000">
      <w:r>
        <w:rPr>
          <w:b/>
        </w:rPr>
        <w:t>Answer:</w:t>
      </w:r>
    </w:p>
    <w:p w14:paraId="31093D4F" w14:textId="77777777" w:rsidR="004258BC" w:rsidRDefault="00000000">
      <w:r>
        <w:t>I did not assume that the commercial systems expose the same classifier interface. Instead, I defined a frozen mapping for the analyst-visible output of each system.</w:t>
      </w:r>
    </w:p>
    <w:p w14:paraId="4A81C4C8" w14:textId="77777777" w:rsidR="004258BC" w:rsidRDefault="00000000">
      <w:r>
        <w:t xml:space="preserve">Magnet uses the “Possible weapons” tag. </w:t>
      </w:r>
      <w:proofErr w:type="spellStart"/>
      <w:r>
        <w:t>Griffeye</w:t>
      </w:r>
      <w:proofErr w:type="spellEnd"/>
      <w:r>
        <w:t xml:space="preserve">/T3K uses the CORE/Violence/Firearm bookmark. </w:t>
      </w:r>
      <w:proofErr w:type="spellStart"/>
      <w:r>
        <w:t>Excire</w:t>
      </w:r>
      <w:proofErr w:type="spellEnd"/>
      <w:r>
        <w:t xml:space="preserve"> uses a hit in at least one of eight frozen firearm-oriented prompt lists, with D20, D50, and D80 kept as separate configurations. Cellebrite uses the “Armi”, “Pistola”, or “Fucile” classifications.</w:t>
      </w:r>
    </w:p>
    <w:p w14:paraId="6F6718A0" w14:textId="77777777" w:rsidR="004258BC" w:rsidRDefault="00000000">
      <w:r>
        <w:t>The observable states are mapped to weapon, non-weapon, or unknown. Unsupported output is never silently converted to negative. No unknown state occurred in the final 69,000 normalized decisions.</w:t>
      </w:r>
    </w:p>
    <w:p w14:paraId="6128A883" w14:textId="77777777" w:rsidR="004258BC" w:rsidRDefault="00000000">
      <w:r>
        <w:rPr>
          <w:b/>
        </w:rPr>
        <w:t xml:space="preserve">Keywords: </w:t>
      </w:r>
      <w:r>
        <w:rPr>
          <w:i/>
        </w:rPr>
        <w:t>observable outputs → frozen mapping → per-tool rule → unsupported = unknown, never negative → 0 unknown final</w:t>
      </w:r>
    </w:p>
    <w:p w14:paraId="6FD58320" w14:textId="77777777" w:rsidR="004258BC" w:rsidRDefault="00000000">
      <w:pPr>
        <w:pStyle w:val="Titolo2"/>
      </w:pPr>
      <w:r>
        <w:t>Backup B8 — Metric denominators keep comparisons honest</w:t>
      </w:r>
    </w:p>
    <w:p w14:paraId="6D146526" w14:textId="77777777" w:rsidR="004258BC" w:rsidRDefault="00000000">
      <w:r>
        <w:rPr>
          <w:b/>
        </w:rPr>
        <w:t xml:space="preserve">Use when: </w:t>
      </w:r>
      <w:r>
        <w:t>The commission asks about FNR, FPR, OOD rates, or why denominators differ.</w:t>
      </w:r>
    </w:p>
    <w:p w14:paraId="42794CD4" w14:textId="77777777" w:rsidR="004258BC" w:rsidRDefault="00000000">
      <w:r>
        <w:rPr>
          <w:b/>
        </w:rPr>
        <w:t>Answer:</w:t>
      </w:r>
    </w:p>
    <w:p w14:paraId="42853BC1" w14:textId="77777777" w:rsidR="004258BC" w:rsidRDefault="00000000">
      <w:r>
        <w:t>Accuracy is the proportion of correct evaluated binary decisions. FNR is false negatives divided by true positives plus false negatives, so operationally it represents missed-target risk. FPR is false positives divided by false positives plus true negatives, so it represents additional review workload.</w:t>
      </w:r>
    </w:p>
    <w:p w14:paraId="0C5233AF" w14:textId="77777777" w:rsidR="004258BC" w:rsidRDefault="00000000">
      <w:r>
        <w:t xml:space="preserve">OOD weapon assignment is reported separately because OOD images do not belong to the supervised weapon/non-weapon task. For proxy OOD evaluation, </w:t>
      </w:r>
      <w:proofErr w:type="spellStart"/>
      <w:proofErr w:type="gramStart"/>
      <w:r>
        <w:t>five fold</w:t>
      </w:r>
      <w:proofErr w:type="spellEnd"/>
      <w:proofErr w:type="gramEnd"/>
      <w:r>
        <w:t>-specific checkpoints produce 2,500 responses from 500 images. Each commercial configuration produces one decision per OOD image, so its denominator is 500. Unknown outputs would be excluded from binary denominators and reported separately.</w:t>
      </w:r>
    </w:p>
    <w:p w14:paraId="48956883" w14:textId="77777777" w:rsidR="004258BC" w:rsidRDefault="00000000">
      <w:r>
        <w:rPr>
          <w:b/>
        </w:rPr>
        <w:t xml:space="preserve">Keywords: </w:t>
      </w:r>
      <w:r>
        <w:rPr>
          <w:i/>
        </w:rPr>
        <w:t>FNR = misses → FPR = workload → OOD separate → proxy denominator 2,500 → commercial denominator 500</w:t>
      </w:r>
    </w:p>
    <w:p w14:paraId="26D73C50" w14:textId="77777777" w:rsidR="004258BC" w:rsidRDefault="00000000">
      <w:pPr>
        <w:pStyle w:val="Titolo2"/>
      </w:pPr>
      <w:r>
        <w:t>Backup B9 — Limitations define the next validation steps</w:t>
      </w:r>
    </w:p>
    <w:p w14:paraId="2A3190EC" w14:textId="77777777" w:rsidR="004258BC" w:rsidRDefault="00000000">
      <w:r>
        <w:rPr>
          <w:b/>
        </w:rPr>
        <w:t xml:space="preserve">Use when: </w:t>
      </w:r>
      <w:r>
        <w:t>The commission asks: “What would you do next?” or “How generalizable are these results?”</w:t>
      </w:r>
    </w:p>
    <w:p w14:paraId="4A9168A1" w14:textId="77777777" w:rsidR="004258BC" w:rsidRDefault="00000000">
      <w:r>
        <w:rPr>
          <w:b/>
        </w:rPr>
        <w:t>Answer:</w:t>
      </w:r>
    </w:p>
    <w:p w14:paraId="4767B97C" w14:textId="77777777" w:rsidR="004258BC" w:rsidRDefault="00000000">
      <w:r>
        <w:t>Further validation should use larger and more heterogeneous datasets with multiple reviewers, test parameter sweeps and matched attacks, evaluate the full iterative SuperDeepFool method, and include representation-matched clean controls. It should also repeat commercial evaluations across versions, extend beyond still images, and strengthen audit and human-review controls. These are future experiments, not results of the current study.</w:t>
      </w:r>
    </w:p>
    <w:p w14:paraId="7143B172" w14:textId="77777777" w:rsidR="004258BC" w:rsidRDefault="00000000">
      <w:r>
        <w:lastRenderedPageBreak/>
        <w:t>The objective is not simply to maximize accuracy. It is to test whether the observed operating profiles remain stable across data, tools, conditions, and time while preserving the traceability of every experimental decision.</w:t>
      </w:r>
    </w:p>
    <w:p w14:paraId="4CFB55BA" w14:textId="77777777" w:rsidR="004258BC" w:rsidRDefault="00000000">
      <w:r>
        <w:rPr>
          <w:b/>
        </w:rPr>
        <w:t xml:space="preserve">Keywords: </w:t>
      </w:r>
      <w:r>
        <w:rPr>
          <w:i/>
        </w:rPr>
        <w:t>larger multi-reviewer data → parameter sweeps/adaptive attacks → version drift → other modalities → stronger governance → preserve traceability</w:t>
      </w:r>
    </w:p>
    <w:sectPr w:rsidR="004258BC" w:rsidSect="00034616">
      <w:footerReference w:type="default" r:id="rId8"/>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C459" w14:textId="77777777" w:rsidR="00F63EBE" w:rsidRDefault="00F63EBE">
      <w:pPr>
        <w:spacing w:after="0" w:line="240" w:lineRule="auto"/>
      </w:pPr>
      <w:r>
        <w:separator/>
      </w:r>
    </w:p>
  </w:endnote>
  <w:endnote w:type="continuationSeparator" w:id="0">
    <w:p w14:paraId="285132AE" w14:textId="77777777" w:rsidR="00F63EBE" w:rsidRDefault="00F6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5716" w14:textId="77777777" w:rsidR="004258BC" w:rsidRDefault="00000000">
    <w:pPr>
      <w:pStyle w:val="Pidipagina"/>
      <w:jc w:val="center"/>
    </w:pPr>
    <w:r>
      <w:t xml:space="preserve">Page </w:t>
    </w:r>
    <w:r>
      <w:fldChar w:fldCharType="begin"/>
    </w:r>
    <w:r>
      <w:instrText xml:space="preserve"> PAGE </w:instrText>
    </w:r>
    <w:r>
      <w:fldChar w:fldCharType="separate"/>
    </w:r>
    <w:r w:rsidR="006145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78822" w14:textId="77777777" w:rsidR="00F63EBE" w:rsidRDefault="00F63EBE">
      <w:pPr>
        <w:spacing w:after="0" w:line="240" w:lineRule="auto"/>
      </w:pPr>
      <w:r>
        <w:separator/>
      </w:r>
    </w:p>
  </w:footnote>
  <w:footnote w:type="continuationSeparator" w:id="0">
    <w:p w14:paraId="6360DB6A" w14:textId="77777777" w:rsidR="00F63EBE" w:rsidRDefault="00F63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1117711">
    <w:abstractNumId w:val="8"/>
  </w:num>
  <w:num w:numId="2" w16cid:durableId="1375695185">
    <w:abstractNumId w:val="6"/>
  </w:num>
  <w:num w:numId="3" w16cid:durableId="3098207">
    <w:abstractNumId w:val="5"/>
  </w:num>
  <w:num w:numId="4" w16cid:durableId="1606422074">
    <w:abstractNumId w:val="4"/>
  </w:num>
  <w:num w:numId="5" w16cid:durableId="1965041359">
    <w:abstractNumId w:val="7"/>
  </w:num>
  <w:num w:numId="6" w16cid:durableId="1296641794">
    <w:abstractNumId w:val="3"/>
  </w:num>
  <w:num w:numId="7" w16cid:durableId="1612206519">
    <w:abstractNumId w:val="2"/>
  </w:num>
  <w:num w:numId="8" w16cid:durableId="192160995">
    <w:abstractNumId w:val="1"/>
  </w:num>
  <w:num w:numId="9" w16cid:durableId="35881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2E4"/>
    <w:rsid w:val="0029639D"/>
    <w:rsid w:val="002E36FD"/>
    <w:rsid w:val="00326F90"/>
    <w:rsid w:val="004258BC"/>
    <w:rsid w:val="00583478"/>
    <w:rsid w:val="00614540"/>
    <w:rsid w:val="006D5C39"/>
    <w:rsid w:val="007A017A"/>
    <w:rsid w:val="0090397E"/>
    <w:rsid w:val="00A45D70"/>
    <w:rsid w:val="00AA1D8D"/>
    <w:rsid w:val="00AF1777"/>
    <w:rsid w:val="00B47730"/>
    <w:rsid w:val="00BD28D6"/>
    <w:rsid w:val="00C517C1"/>
    <w:rsid w:val="00CB0664"/>
    <w:rsid w:val="00D37A8F"/>
    <w:rsid w:val="00DA6DA1"/>
    <w:rsid w:val="00F63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114F0"/>
  <w14:defaultImageDpi w14:val="300"/>
  <w15:docId w15:val="{289A8047-EB61-4D77-9ADC-8BEB381D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2E36FD"/>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3205</Words>
  <Characters>18274</Characters>
  <Application>Microsoft Office Word</Application>
  <DocSecurity>0</DocSecurity>
  <Lines>152</Lines>
  <Paragraphs>42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LELLO MOLINARIO</cp:lastModifiedBy>
  <cp:revision>6</cp:revision>
  <dcterms:created xsi:type="dcterms:W3CDTF">2013-12-23T23:15:00Z</dcterms:created>
  <dcterms:modified xsi:type="dcterms:W3CDTF">2026-10-01T14:50:00Z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77a4aea6-7cbe-4d78-9c2f-1a466cba71bf</vt:lpwstr>
  </property>
</Properties>
</file>