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p>
    <w:p>
      <w:pPr>
        <w:spacing w:after="1300"/>
        <w:jc w:val="center"/>
      </w:pPr>
      <w:r>
        <w:drawing>
          <wp:inline distT="0" distB="0" distL="0" distR="0">
            <wp:extent cx="2000250" cy="704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000250" cy="704850"/>
                    </a:xfrm>
                    <a:prstGeom prst="rect">
                      <a:avLst/>
                    </a:prstGeom>
                  </pic:spPr>
                </pic:pic>
              </a:graphicData>
            </a:graphic>
          </wp:inline>
        </w:drawing>
      </w:r>
    </w:p>
    <w:p>
      <w:pPr>
        <w:spacing w:after="160" w:line="252" w:lineRule="auto"/>
        <w:jc w:val="left"/>
      </w:pPr>
      <w:r>
        <w:rPr>
          <w:rFonts w:ascii="Arial" w:cs="Arial" w:eastAsia="Arial" w:hAnsi="Arial"/>
          <w:b/>
          <w:bCs/>
          <w:sz w:val="60"/>
          <w:szCs w:val="60"/>
        </w:rPr>
        <w:t xml:space="preserve">MCDI501</w:t>
      </w:r>
    </w:p>
    <w:p>
      <w:pPr>
        <w:spacing w:after="480" w:line="252" w:lineRule="auto"/>
        <w:jc w:val="left"/>
      </w:pPr>
      <w:r>
        <w:rPr>
          <w:rFonts w:ascii="Arial" w:cs="Arial" w:eastAsia="Arial" w:hAnsi="Arial"/>
          <w:b/>
          <w:bCs/>
          <w:sz w:val="54"/>
          <w:szCs w:val="54"/>
        </w:rPr>
        <w:t xml:space="preserve">ESTADÍSTICA COMPUTACIONAL</w:t>
      </w:r>
      <w:r>
        <w:rPr>
          <w:rFonts w:ascii="Arial" w:cs="Arial" w:eastAsia="Arial" w:hAnsi="Arial"/>
          <w:b/>
          <w:bCs/>
          <w:sz w:val="54"/>
          <w:szCs w:val="54"/>
        </w:rPr>
        <w:br/>
        <w:t xml:space="preserve">PARA LA TOMA DE DECISIONES</w:t>
      </w:r>
    </w:p>
    <w:p>
      <w:pPr>
        <w:spacing w:after="480" w:line="252" w:lineRule="auto"/>
        <w:jc w:val="left"/>
      </w:pPr>
      <w:r>
        <w:rPr>
          <w:rFonts w:ascii="Arial" w:cs="Arial" w:eastAsia="Arial" w:hAnsi="Arial"/>
          <w:b/>
          <w:bCs/>
          <w:sz w:val="50"/>
          <w:szCs w:val="50"/>
        </w:rPr>
        <w:t xml:space="preserve">EVALUACIÓN FORMATIVA 1</w:t>
      </w:r>
      <w:r>
        <w:rPr>
          <w:rFonts w:ascii="Arial" w:cs="Arial" w:eastAsia="Arial" w:hAnsi="Arial"/>
          <w:b/>
          <w:bCs/>
          <w:sz w:val="50"/>
          <w:szCs w:val="50"/>
        </w:rPr>
        <w:br/>
        <w:t xml:space="preserve">FASES 1 Y 2</w:t>
      </w:r>
    </w:p>
    <w:p>
      <w:pPr>
        <w:spacing w:after="480" w:line="252" w:lineRule="auto"/>
        <w:jc w:val="left"/>
      </w:pPr>
      <w:r>
        <w:rPr>
          <w:rFonts w:ascii="Arial" w:cs="Arial" w:eastAsia="Arial" w:hAnsi="Arial"/>
          <w:b/>
          <w:bCs/>
          <w:sz w:val="32"/>
          <w:szCs w:val="32"/>
        </w:rPr>
        <w:t xml:space="preserve">Factores asociados a la salida de empleados</w:t>
      </w:r>
      <w:r>
        <w:rPr>
          <w:rFonts w:ascii="Arial" w:cs="Arial" w:eastAsia="Arial" w:hAnsi="Arial"/>
          <w:b/>
          <w:bCs/>
          <w:sz w:val="32"/>
          <w:szCs w:val="32"/>
        </w:rPr>
        <w:br/>
        <w:t xml:space="preserve">en el conjunto IBM HR Employee Attrition</w:t>
      </w:r>
    </w:p>
    <w:p>
      <w:pPr>
        <w:spacing w:after="120"/>
        <w:jc w:val="left"/>
      </w:pPr>
      <w:r>
        <w:rPr>
          <w:rFonts w:ascii="Arial" w:cs="Arial" w:eastAsia="Arial" w:hAnsi="Arial"/>
          <w:sz w:val="18"/>
          <w:szCs w:val="18"/>
        </w:rPr>
        <w:t xml:space="preserve">Integrantes: Hernán Saavedra González · Lenin Morales Salas · Rodrigo Gómez Indellicati</w:t>
      </w:r>
    </w:p>
    <w:p>
      <w:pPr>
        <w:spacing w:after="120"/>
        <w:jc w:val="left"/>
      </w:pPr>
      <w:r>
        <w:rPr>
          <w:rFonts w:ascii="Arial" w:cs="Arial" w:eastAsia="Arial" w:hAnsi="Arial"/>
          <w:sz w:val="18"/>
          <w:szCs w:val="18"/>
        </w:rPr>
        <w:t xml:space="preserve">Docente: Jean Paul Maidana</w:t>
      </w:r>
    </w:p>
    <w:p>
      <w:pPr>
        <w:spacing w:after="120"/>
        <w:jc w:val="left"/>
      </w:pPr>
      <w:r>
        <w:rPr>
          <w:rFonts w:ascii="Arial" w:cs="Arial" w:eastAsia="Arial" w:hAnsi="Arial"/>
          <w:sz w:val="18"/>
          <w:szCs w:val="18"/>
        </w:rPr>
        <w:t xml:space="preserve">Curso: MCDI501 · Estadística Computacional para la Toma de Decisiones</w:t>
      </w:r>
    </w:p>
    <w:p>
      <w:pPr>
        <w:spacing w:after="120"/>
        <w:jc w:val="left"/>
      </w:pPr>
      <w:r>
        <w:rPr>
          <w:rFonts w:ascii="Arial" w:cs="Arial" w:eastAsia="Arial" w:hAnsi="Arial"/>
          <w:sz w:val="18"/>
          <w:szCs w:val="18"/>
        </w:rPr>
        <w:t xml:space="preserve">Fecha: octubre de 2026</w:t>
      </w:r>
    </w:p>
    <w:p>
      <w:pPr>
        <w:spacing w:after="120"/>
        <w:jc w:val="left"/>
      </w:pPr>
      <w:r>
        <w:rPr>
          <w:rFonts w:ascii="Arial" w:cs="Arial" w:eastAsia="Arial" w:hAnsi="Arial"/>
          <w:sz w:val="18"/>
          <w:szCs w:val="18"/>
        </w:rPr>
        <w:t xml:space="preserve">Repositorio: https://github.com/lmoralessalas-dot/MCDI501-IBM-HR-Attrition</w:t>
      </w:r>
    </w:p>
    <w:p>
      <w:r>
        <w:br w:type="page"/>
      </w:r>
    </w:p>
    <w:p>
      <w:pPr>
        <w:spacing w:after="160" w:before="200"/>
      </w:pPr>
      <w:r>
        <w:rPr>
          <w:rFonts w:ascii="Calibri" w:cs="Calibri" w:eastAsia="Calibri" w:hAnsi="Calibri"/>
          <w:b/>
          <w:bCs/>
          <w:color w:val="1F4E79"/>
          <w:sz w:val="30"/>
          <w:szCs w:val="30"/>
        </w:rPr>
        <w:t xml:space="preserve">Índice</w:t>
      </w:r>
    </w:p>
    <w:sdt>
      <w:sdtPr>
        <w:alias w:val="Índice"/>
      </w:sdtPr>
      <w:sdtContent>
        <w:p>
          <w:r>
            <w:fldChar w:fldCharType="begin" w:dirty="true"/>
            <w:instrText xml:space="preserve">TOC \h \o "1-2"</w:instrText>
            <w:fldChar w:fldCharType="separate"/>
          </w:r>
        </w:p>
        <w:p>
          <w:r>
            <w:fldChar w:fldCharType="end"/>
          </w:r>
        </w:p>
      </w:sdtContent>
    </w:sdt>
    <w:p>
      <w:pPr>
        <w:spacing w:after="120"/>
      </w:pPr>
    </w:p>
    <w:p>
      <w:pPr>
        <w:pStyle w:val="Heading1"/>
        <w:keepNext/>
        <w:spacing w:after="100" w:before="200"/>
      </w:pPr>
      <w:r>
        <w:t xml:space="preserve">1. Introducción</w:t>
      </w:r>
    </w:p>
    <w:p>
      <w:pPr>
        <w:spacing w:after="120" w:before="0" w:line="264"/>
        <w:jc w:val="both"/>
      </w:pPr>
      <w:r>
        <w:t xml:space="preserve">Trabajamos con </w:t>
      </w:r>
      <w:r>
        <w:rPr>
          <w:b/>
          <w:bCs/>
        </w:rPr>
        <w:t xml:space="preserve">IBM HR Employee Attrition</w:t>
      </w:r>
      <w:r>
        <w:t xml:space="preserve">, un conjunto sintético publicado por IBM en Kaggle con 1.470 registros de empleados y 35 variables. La variable objetivo, </w:t>
      </w:r>
      <w:r>
        <w:rPr>
          <w:i/>
          <w:iCs/>
        </w:rPr>
        <w:t xml:space="preserve">Attrition</w:t>
      </w:r>
      <w:r>
        <w:t xml:space="preserve">, indica si la persona dejó la empresa. En gestión de personas cada salida tiene un costo directo (reclutamiento, inducción, curva de aprendizaje) y otro menos visible en la continuidad de los equipos. Saber en qué grupos se concentra la salida permite orientar las acciones de retención antes de que ocurra.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single" w:color="1F4E79" w:sz="24"/>
              <w:bottom w:val="none" w:color="FFFFFF" w:sz="0"/>
              <w:right w:val="none" w:color="FFFFFF" w:sz="0"/>
            </w:tcBorders>
            <w:shd w:fill="EEF3F8" w:color="auto" w:val="clear"/>
            <w:tcMar>
              <w:top w:type="dxa" w:w="100"/>
              <w:left w:type="dxa" w:w="160"/>
              <w:bottom w:type="dxa" w:w="100"/>
              <w:right w:type="dxa" w:w="160"/>
            </w:tcMar>
          </w:tcPr>
          <w:p>
            <w:pPr>
              <w:spacing w:after="0" w:before="0" w:line="264"/>
              <w:jc w:val="left"/>
            </w:pPr>
            <w:r>
              <w:rPr>
                <w:b/>
                <w:bCs/>
              </w:rPr>
              <w:t xml:space="preserve">Pregunta de investigación.</w:t>
            </w:r>
            <w:r>
              <w:t xml:space="preserve"> ¿Se asocian las horas extra, el ingreso mensual, la satisfacción laboral y la antigüedad en la empresa con la salida de empleados?</w:t>
            </w:r>
          </w:p>
        </w:tc>
      </w:tr>
    </w:tbl>
    <w:p>
      <w:pPr>
        <w:spacing w:after="60" w:before="0" w:line="264"/>
        <w:jc w:val="both"/>
      </w:pPr>
    </w:p>
    <w:p>
      <w:pPr>
        <w:spacing w:after="120" w:before="0" w:line="264"/>
        <w:jc w:val="both"/>
      </w:pPr>
      <w:r>
        <w:t xml:space="preserve">El objetivo es describir estas cuatro variables y contrastar su asociación con la salida mediante estadística descriptiva, intervalos de confianza y pruebas de hipótesis. En esta fase no se entrenan modelos predictivos; los resultados sirven de base para el modelamiento de la Fase 3. Como los datos son sintéticos, las conclusiones valen para este conjunto y no describen a una empresa concreta, aunque el razonamiento es el mismo que se aplicaría con datos reales.</w:t>
      </w:r>
    </w:p>
    <w:tbl>
      <w:tblPr>
        <w:tblW w:type="dxa" w:w="10080"/>
        <w:jc w:val="center"/>
        <w:tblBorders>
          <w:top w:val="single" w:color="auto" w:sz="4"/>
          <w:left w:val="single" w:color="auto" w:sz="4"/>
          <w:bottom w:val="single" w:color="auto" w:sz="4"/>
          <w:right w:val="single" w:color="auto" w:sz="4"/>
          <w:insideH w:val="single" w:color="auto" w:sz="4"/>
          <w:insideV w:val="single" w:color="auto" w:sz="4"/>
        </w:tblBorders>
      </w:tblPr>
      <w:tblGrid>
        <w:gridCol w:w="2778"/>
        <w:gridCol w:w="7302"/>
      </w:tblGrid>
      <w:tr>
        <w:trPr>
          <w:tblHeader/>
        </w:trPr>
        <w:tc>
          <w:tcPr>
            <w:tcW w:type="dxa" w:w="2778"/>
            <w:tcBorders>
              <w:top w:val="single" w:color="BFBFBF" w:sz="4"/>
              <w:left w:val="none" w:color="FFFFFF" w:sz="0"/>
              <w:bottom w:val="single" w:color="BFBFBF" w:sz="4"/>
              <w:right w:val="none" w:color="FFFFFF" w:sz="0"/>
            </w:tcBorders>
            <w:shd w:fill="E9EEF4" w:color="auto" w:val="clear"/>
            <w:tcMar>
              <w:top w:type="dxa" w:w="40"/>
              <w:left w:type="dxa" w:w="90"/>
              <w:bottom w:type="dxa" w:w="40"/>
              <w:right w:type="dxa" w:w="90"/>
            </w:tcMar>
            <w:vAlign w:val="center"/>
          </w:tcPr>
          <w:p>
            <w:pPr>
              <w:keepNext/>
              <w:spacing w:after="0"/>
              <w:jc w:val="left"/>
            </w:pPr>
            <w:r>
              <w:rPr>
                <w:b/>
                <w:bCs/>
                <w:sz w:val="19"/>
                <w:szCs w:val="19"/>
              </w:rPr>
              <w:t xml:space="preserve">Ficha del conjunto</w:t>
            </w:r>
          </w:p>
        </w:tc>
        <w:tc>
          <w:tcPr>
            <w:tcW w:type="dxa" w:w="7302"/>
            <w:tcBorders>
              <w:top w:val="single" w:color="BFBFBF" w:sz="4"/>
              <w:left w:val="none" w:color="FFFFFF" w:sz="0"/>
              <w:bottom w:val="single" w:color="BFBFBF" w:sz="4"/>
              <w:right w:val="none" w:color="FFFFFF" w:sz="0"/>
            </w:tcBorders>
            <w:shd w:fill="E9EEF4" w:color="auto" w:val="clear"/>
            <w:tcMar>
              <w:top w:type="dxa" w:w="40"/>
              <w:left w:type="dxa" w:w="90"/>
              <w:bottom w:type="dxa" w:w="40"/>
              <w:right w:type="dxa" w:w="90"/>
            </w:tcMar>
            <w:vAlign w:val="center"/>
          </w:tcPr>
          <w:p>
            <w:pPr>
              <w:keepNext/>
              <w:spacing w:after="0"/>
              <w:jc w:val="center"/>
            </w:pPr>
            <w:r>
              <w:rPr>
                <w:b/>
                <w:bCs/>
                <w:sz w:val="19"/>
                <w:szCs w:val="19"/>
              </w:rPr>
              <w:t xml:space="preserve">Descripción</w:t>
            </w:r>
          </w:p>
        </w:tc>
      </w:tr>
      <w:tr>
        <w:trPr>
          <w:cantSplit/>
        </w:trPr>
        <w:tc>
          <w:tcPr>
            <w:tcW w:type="dxa" w:w="2778"/>
            <w:tcBorders>
              <w:top w:val="single" w:color="BFBFBF" w:sz="4"/>
              <w:left w:val="none" w:color="FFFFFF" w:sz="0"/>
              <w:bottom w:val="single" w:color="BFBFBF" w:sz="4"/>
              <w:right w:val="none" w:color="FFFFFF" w:sz="0"/>
            </w:tcBorders>
            <w:tcMar>
              <w:top w:type="dxa" w:w="40"/>
              <w:left w:type="dxa" w:w="90"/>
              <w:bottom w:type="dxa" w:w="40"/>
              <w:right w:type="dxa" w:w="90"/>
            </w:tcMar>
            <w:vAlign w:val="center"/>
          </w:tcPr>
          <w:p>
            <w:pPr>
              <w:keepNext/>
              <w:spacing w:after="0"/>
              <w:jc w:val="left"/>
            </w:pPr>
            <w:r>
              <w:rPr>
                <w:b w:val="false"/>
                <w:bCs w:val="false"/>
                <w:sz w:val="19"/>
                <w:szCs w:val="19"/>
              </w:rPr>
              <w:t xml:space="preserve">Fuente</w:t>
            </w:r>
          </w:p>
        </w:tc>
        <w:tc>
          <w:tcPr>
            <w:tcW w:type="dxa" w:w="7302"/>
            <w:tcBorders>
              <w:top w:val="single" w:color="BFBFBF" w:sz="4"/>
              <w:left w:val="none" w:color="FFFFFF" w:sz="0"/>
              <w:bottom w:val="single" w:color="BFBFBF" w:sz="4"/>
              <w:right w:val="none" w:color="FFFFFF" w:sz="0"/>
            </w:tcBorders>
            <w:tcMar>
              <w:top w:type="dxa" w:w="40"/>
              <w:left w:type="dxa" w:w="90"/>
              <w:bottom w:type="dxa" w:w="40"/>
              <w:right w:type="dxa" w:w="90"/>
            </w:tcMar>
            <w:vAlign w:val="center"/>
          </w:tcPr>
          <w:p>
            <w:pPr>
              <w:keepNext/>
              <w:spacing w:after="0"/>
              <w:jc w:val="left"/>
            </w:pPr>
            <w:r>
              <w:rPr>
                <w:b w:val="false"/>
                <w:bCs w:val="false"/>
                <w:sz w:val="19"/>
                <w:szCs w:val="19"/>
              </w:rPr>
              <w:t xml:space="preserve">Kaggle, </w:t>
            </w:r>
            <w:r>
              <w:rPr>
                <w:b w:val="false"/>
                <w:bCs w:val="false"/>
                <w:i/>
                <w:iCs/>
                <w:sz w:val="19"/>
                <w:szCs w:val="19"/>
              </w:rPr>
              <w:t xml:space="preserve">IBM HR Analytics Employee Attrition &amp; Performance</w:t>
            </w:r>
          </w:p>
        </w:tc>
      </w:tr>
      <w:tr>
        <w:trPr>
          <w:cantSplit/>
        </w:trPr>
        <w:tc>
          <w:tcPr>
            <w:tcW w:type="dxa" w:w="2778"/>
            <w:tcBorders>
              <w:top w:val="single" w:color="BFBFBF" w:sz="4"/>
              <w:left w:val="none" w:color="FFFFFF" w:sz="0"/>
              <w:bottom w:val="single" w:color="BFBFBF" w:sz="4"/>
              <w:right w:val="none" w:color="FFFFFF" w:sz="0"/>
            </w:tcBorders>
            <w:tcMar>
              <w:top w:type="dxa" w:w="40"/>
              <w:left w:type="dxa" w:w="90"/>
              <w:bottom w:type="dxa" w:w="40"/>
              <w:right w:type="dxa" w:w="90"/>
            </w:tcMar>
            <w:vAlign w:val="center"/>
          </w:tcPr>
          <w:p>
            <w:pPr>
              <w:keepNext/>
              <w:spacing w:after="0"/>
              <w:jc w:val="left"/>
            </w:pPr>
            <w:r>
              <w:rPr>
                <w:b w:val="false"/>
                <w:bCs w:val="false"/>
                <w:sz w:val="19"/>
                <w:szCs w:val="19"/>
              </w:rPr>
              <w:t xml:space="preserve">Unidad de observación</w:t>
            </w:r>
          </w:p>
        </w:tc>
        <w:tc>
          <w:tcPr>
            <w:tcW w:type="dxa" w:w="7302"/>
            <w:tcBorders>
              <w:top w:val="single" w:color="BFBFBF" w:sz="4"/>
              <w:left w:val="none" w:color="FFFFFF" w:sz="0"/>
              <w:bottom w:val="single" w:color="BFBFBF" w:sz="4"/>
              <w:right w:val="none" w:color="FFFFFF" w:sz="0"/>
            </w:tcBorders>
            <w:tcMar>
              <w:top w:type="dxa" w:w="40"/>
              <w:left w:type="dxa" w:w="90"/>
              <w:bottom w:type="dxa" w:w="40"/>
              <w:right w:type="dxa" w:w="90"/>
            </w:tcMar>
            <w:vAlign w:val="center"/>
          </w:tcPr>
          <w:p>
            <w:pPr>
              <w:keepNext/>
              <w:spacing w:after="0"/>
              <w:jc w:val="left"/>
            </w:pPr>
            <w:r>
              <w:rPr>
                <w:b w:val="false"/>
                <w:bCs w:val="false"/>
                <w:sz w:val="19"/>
                <w:szCs w:val="19"/>
              </w:rPr>
              <w:t xml:space="preserve">Un empleado (registro sintético)</w:t>
            </w:r>
          </w:p>
        </w:tc>
      </w:tr>
      <w:tr>
        <w:trPr>
          <w:cantSplit/>
        </w:trPr>
        <w:tc>
          <w:tcPr>
            <w:tcW w:type="dxa" w:w="2778"/>
            <w:tcBorders>
              <w:top w:val="single" w:color="BFBFBF" w:sz="4"/>
              <w:left w:val="none" w:color="FFFFFF" w:sz="0"/>
              <w:bottom w:val="single" w:color="BFBFBF" w:sz="4"/>
              <w:right w:val="none" w:color="FFFFFF" w:sz="0"/>
            </w:tcBorders>
            <w:tcMar>
              <w:top w:type="dxa" w:w="40"/>
              <w:left w:type="dxa" w:w="90"/>
              <w:bottom w:type="dxa" w:w="40"/>
              <w:right w:type="dxa" w:w="90"/>
            </w:tcMar>
            <w:vAlign w:val="center"/>
          </w:tcPr>
          <w:p>
            <w:pPr>
              <w:keepNext/>
              <w:spacing w:after="0"/>
              <w:jc w:val="left"/>
            </w:pPr>
            <w:r>
              <w:rPr>
                <w:b w:val="false"/>
                <w:bCs w:val="false"/>
                <w:sz w:val="19"/>
                <w:szCs w:val="19"/>
              </w:rPr>
              <w:t xml:space="preserve">Tamaño</w:t>
            </w:r>
          </w:p>
        </w:tc>
        <w:tc>
          <w:tcPr>
            <w:tcW w:type="dxa" w:w="7302"/>
            <w:tcBorders>
              <w:top w:val="single" w:color="BFBFBF" w:sz="4"/>
              <w:left w:val="none" w:color="FFFFFF" w:sz="0"/>
              <w:bottom w:val="single" w:color="BFBFBF" w:sz="4"/>
              <w:right w:val="none" w:color="FFFFFF" w:sz="0"/>
            </w:tcBorders>
            <w:tcMar>
              <w:top w:type="dxa" w:w="40"/>
              <w:left w:type="dxa" w:w="90"/>
              <w:bottom w:type="dxa" w:w="40"/>
              <w:right w:type="dxa" w:w="90"/>
            </w:tcMar>
            <w:vAlign w:val="center"/>
          </w:tcPr>
          <w:p>
            <w:pPr>
              <w:keepNext/>
              <w:spacing w:after="0"/>
              <w:jc w:val="left"/>
            </w:pPr>
            <w:r>
              <w:rPr>
                <w:b w:val="false"/>
                <w:bCs w:val="false"/>
                <w:sz w:val="19"/>
                <w:szCs w:val="19"/>
              </w:rPr>
              <w:t xml:space="preserve">1.470 registros × 35 columnas</w:t>
            </w:r>
          </w:p>
        </w:tc>
      </w:tr>
      <w:tr>
        <w:trPr>
          <w:cantSplit/>
        </w:trPr>
        <w:tc>
          <w:tcPr>
            <w:tcW w:type="dxa" w:w="2778"/>
            <w:tcBorders>
              <w:top w:val="single" w:color="BFBFBF" w:sz="4"/>
              <w:left w:val="none" w:color="FFFFFF" w:sz="0"/>
              <w:bottom w:val="single" w:color="BFBFBF" w:sz="4"/>
              <w:right w:val="none" w:color="FFFFFF" w:sz="0"/>
            </w:tcBorders>
            <w:tcMar>
              <w:top w:type="dxa" w:w="40"/>
              <w:left w:type="dxa" w:w="90"/>
              <w:bottom w:type="dxa" w:w="40"/>
              <w:right w:type="dxa" w:w="90"/>
            </w:tcMar>
            <w:vAlign w:val="center"/>
          </w:tcPr>
          <w:p>
            <w:pPr>
              <w:keepNext/>
              <w:spacing w:after="0"/>
              <w:jc w:val="left"/>
            </w:pPr>
            <w:r>
              <w:rPr>
                <w:b w:val="false"/>
                <w:bCs w:val="false"/>
                <w:sz w:val="19"/>
                <w:szCs w:val="19"/>
              </w:rPr>
              <w:t xml:space="preserve">Variable objetivo</w:t>
            </w:r>
          </w:p>
        </w:tc>
        <w:tc>
          <w:tcPr>
            <w:tcW w:type="dxa" w:w="7302"/>
            <w:tcBorders>
              <w:top w:val="single" w:color="BFBFBF" w:sz="4"/>
              <w:left w:val="none" w:color="FFFFFF" w:sz="0"/>
              <w:bottom w:val="single" w:color="BFBFBF" w:sz="4"/>
              <w:right w:val="none" w:color="FFFFFF" w:sz="0"/>
            </w:tcBorders>
            <w:tcMar>
              <w:top w:type="dxa" w:w="40"/>
              <w:left w:type="dxa" w:w="90"/>
              <w:bottom w:type="dxa" w:w="40"/>
              <w:right w:type="dxa" w:w="90"/>
            </w:tcMar>
            <w:vAlign w:val="center"/>
          </w:tcPr>
          <w:p>
            <w:pPr>
              <w:keepNext/>
              <w:spacing w:after="0"/>
              <w:jc w:val="left"/>
            </w:pPr>
            <w:r>
              <w:rPr>
                <w:b w:val="false"/>
                <w:bCs w:val="false"/>
                <w:i/>
                <w:iCs/>
                <w:sz w:val="19"/>
                <w:szCs w:val="19"/>
              </w:rPr>
              <w:t xml:space="preserve">Attrition</w:t>
            </w:r>
            <w:r>
              <w:rPr>
                <w:b w:val="false"/>
                <w:bCs w:val="false"/>
                <w:sz w:val="19"/>
                <w:szCs w:val="19"/>
              </w:rPr>
              <w:t xml:space="preserve"> (Sí / No): 237 salidas, 16,12 %</w:t>
            </w:r>
          </w:p>
        </w:tc>
      </w:tr>
      <w:tr>
        <w:trPr>
          <w:cantSplit/>
        </w:trPr>
        <w:tc>
          <w:tcPr>
            <w:tcW w:type="dxa" w:w="2778"/>
            <w:tcBorders>
              <w:top w:val="single" w:color="BFBFBF" w:sz="4"/>
              <w:left w:val="none" w:color="FFFFFF" w:sz="0"/>
              <w:bottom w:val="single" w:color="BFBFBF" w:sz="4"/>
              <w:right w:val="none" w:color="FFFFFF" w:sz="0"/>
            </w:tcBorders>
            <w:tcMar>
              <w:top w:type="dxa" w:w="40"/>
              <w:left w:type="dxa" w:w="90"/>
              <w:bottom w:type="dxa" w:w="40"/>
              <w:right w:type="dxa" w:w="90"/>
            </w:tcMar>
            <w:vAlign w:val="center"/>
          </w:tcPr>
          <w:p>
            <w:pPr>
              <w:keepNext/>
              <w:spacing w:after="0"/>
              <w:jc w:val="left"/>
            </w:pPr>
            <w:r>
              <w:rPr>
                <w:b w:val="false"/>
                <w:bCs w:val="false"/>
                <w:sz w:val="19"/>
                <w:szCs w:val="19"/>
              </w:rPr>
              <w:t xml:space="preserve">Calidad</w:t>
            </w:r>
          </w:p>
        </w:tc>
        <w:tc>
          <w:tcPr>
            <w:tcW w:type="dxa" w:w="7302"/>
            <w:tcBorders>
              <w:top w:val="single" w:color="BFBFBF" w:sz="4"/>
              <w:left w:val="none" w:color="FFFFFF" w:sz="0"/>
              <w:bottom w:val="single" w:color="BFBFBF" w:sz="4"/>
              <w:right w:val="none" w:color="FFFFFF" w:sz="0"/>
            </w:tcBorders>
            <w:tcMar>
              <w:top w:type="dxa" w:w="40"/>
              <w:left w:type="dxa" w:w="90"/>
              <w:bottom w:type="dxa" w:w="40"/>
              <w:right w:type="dxa" w:w="90"/>
            </w:tcMar>
            <w:vAlign w:val="center"/>
          </w:tcPr>
          <w:p>
            <w:pPr>
              <w:keepNext/>
              <w:spacing w:after="0"/>
              <w:jc w:val="left"/>
            </w:pPr>
            <w:r>
              <w:rPr>
                <w:b w:val="false"/>
                <w:bCs w:val="false"/>
                <w:sz w:val="19"/>
                <w:szCs w:val="19"/>
              </w:rPr>
              <w:t xml:space="preserve">Sin faltantes ni duplicados; </w:t>
            </w:r>
            <w:r>
              <w:rPr>
                <w:b w:val="false"/>
                <w:bCs w:val="false"/>
                <w:i/>
                <w:iCs/>
                <w:sz w:val="19"/>
                <w:szCs w:val="19"/>
              </w:rPr>
              <w:t xml:space="preserve">EmployeeNumber</w:t>
            </w:r>
            <w:r>
              <w:rPr>
                <w:b w:val="false"/>
                <w:bCs w:val="false"/>
                <w:sz w:val="19"/>
                <w:szCs w:val="19"/>
              </w:rPr>
              <w:t xml:space="preserve"> único; 3 columnas constantes</w:t>
            </w:r>
          </w:p>
        </w:tc>
      </w:tr>
      <w:tr>
        <w:trPr>
          <w:cantSplit/>
        </w:trPr>
        <w:tc>
          <w:tcPr>
            <w:tcW w:type="dxa" w:w="2778"/>
            <w:tcBorders>
              <w:top w:val="single" w:color="BFBFBF" w:sz="4"/>
              <w:left w:val="none" w:color="FFFFFF" w:sz="0"/>
              <w:bottom w:val="single" w:color="BFBFBF" w:sz="4"/>
              <w:right w:val="none" w:color="FFFFFF" w:sz="0"/>
            </w:tcBorders>
            <w:tcMar>
              <w:top w:type="dxa" w:w="40"/>
              <w:left w:type="dxa" w:w="90"/>
              <w:bottom w:type="dxa" w:w="40"/>
              <w:right w:type="dxa" w:w="90"/>
            </w:tcMar>
            <w:vAlign w:val="center"/>
          </w:tcPr>
          <w:p>
            <w:pPr>
              <w:keepNext/>
              <w:spacing w:after="0"/>
              <w:jc w:val="left"/>
            </w:pPr>
            <w:r>
              <w:rPr>
                <w:b w:val="false"/>
                <w:bCs w:val="false"/>
                <w:sz w:val="19"/>
                <w:szCs w:val="19"/>
              </w:rPr>
              <w:t xml:space="preserve">Período</w:t>
            </w:r>
          </w:p>
        </w:tc>
        <w:tc>
          <w:tcPr>
            <w:tcW w:type="dxa" w:w="7302"/>
            <w:tcBorders>
              <w:top w:val="single" w:color="BFBFBF" w:sz="4"/>
              <w:left w:val="none" w:color="FFFFFF" w:sz="0"/>
              <w:bottom w:val="single" w:color="BFBFBF" w:sz="4"/>
              <w:right w:val="none" w:color="FFFFFF" w:sz="0"/>
            </w:tcBorders>
            <w:tcMar>
              <w:top w:type="dxa" w:w="40"/>
              <w:left w:type="dxa" w:w="90"/>
              <w:bottom w:type="dxa" w:w="40"/>
              <w:right w:type="dxa" w:w="90"/>
            </w:tcMar>
            <w:vAlign w:val="center"/>
          </w:tcPr>
          <w:p>
            <w:pPr>
              <w:keepNext/>
              <w:spacing w:after="0"/>
              <w:jc w:val="left"/>
            </w:pPr>
            <w:r>
              <w:rPr>
                <w:b w:val="false"/>
                <w:bCs w:val="false"/>
                <w:sz w:val="19"/>
                <w:szCs w:val="19"/>
              </w:rPr>
              <w:t xml:space="preserve">No informado: el 16,12 % es un porcentaje de registros, no una tasa anual</w:t>
            </w:r>
          </w:p>
        </w:tc>
      </w:tr>
    </w:tbl>
    <w:p>
      <w:pPr>
        <w:keepNext w:val="false"/>
        <w:spacing w:after="120" w:before="60"/>
        <w:jc w:val="center"/>
      </w:pPr>
      <w:r>
        <w:rPr>
          <w:color w:val="404040"/>
          <w:sz w:val="19"/>
          <w:szCs w:val="19"/>
        </w:rPr>
        <w:t xml:space="preserve">Tabla 1. Ficha del conjunto de datos.</w:t>
      </w:r>
    </w:p>
    <w:p>
      <w:pPr>
        <w:pStyle w:val="Heading2"/>
        <w:keepNext/>
        <w:spacing w:after="80" w:before="140"/>
      </w:pPr>
      <w:r>
        <w:t xml:space="preserve">1.1 Tipos de variables</w:t>
      </w:r>
    </w:p>
    <w:p>
      <w:pPr>
        <w:spacing w:after="120" w:before="0" w:line="264"/>
        <w:jc w:val="both"/>
      </w:pPr>
      <w:r>
        <w:t xml:space="preserve">La Tabla 2 clasifica las 35 columnas con el esquema del curso. Las escalas de 1 a 4 y los niveles (</w:t>
      </w:r>
      <w:r>
        <w:rPr>
          <w:i/>
          <w:iCs/>
        </w:rPr>
        <w:t xml:space="preserve">JobLevel</w:t>
      </w:r>
      <w:r>
        <w:t xml:space="preserve">, </w:t>
      </w:r>
      <w:r>
        <w:rPr>
          <w:i/>
          <w:iCs/>
        </w:rPr>
        <w:t xml:space="preserve">Education</w:t>
      </w:r>
      <w:r>
        <w:t xml:space="preserve">) son ordinales aunque se guarden como enteros: el orden tiene sentido, pero no la distancia entre niveles. </w:t>
      </w:r>
      <w:r>
        <w:rPr>
          <w:i/>
          <w:iCs/>
        </w:rPr>
        <w:t xml:space="preserve">BusinessTravel</w:t>
      </w:r>
      <w:r>
        <w:t xml:space="preserve"> también es ordinal (sin viajes &lt; viaja poco &lt; viaja frecuentemente). Edad y antigüedades miden tiempo, por lo que se tratan como continuas aunque estén registradas en años enteros; solo los conteos de eventos son discretos. La fuente no documenta la moneda de los importes, así que se reportan en unidades del archivo. El diccionario variable por variable, con tipo en Python y rol, queda en el repositorio.</w:t>
      </w:r>
    </w:p>
    <w:tbl>
      <w:tblPr>
        <w:tblW w:type="dxa" w:w="10080"/>
        <w:jc w:val="center"/>
        <w:tblBorders>
          <w:top w:val="single" w:color="auto" w:sz="4"/>
          <w:left w:val="single" w:color="auto" w:sz="4"/>
          <w:bottom w:val="single" w:color="auto" w:sz="4"/>
          <w:right w:val="single" w:color="auto" w:sz="4"/>
          <w:insideH w:val="single" w:color="auto" w:sz="4"/>
          <w:insideV w:val="single" w:color="auto" w:sz="4"/>
        </w:tblBorders>
      </w:tblPr>
      <w:tblGrid>
        <w:gridCol w:w="2389"/>
        <w:gridCol w:w="7135"/>
        <w:gridCol w:w="556"/>
      </w:tblGrid>
      <w:tr>
        <w:trPr>
          <w:tblHeader/>
        </w:trPr>
        <w:tc>
          <w:tcPr>
            <w:tcW w:type="dxa" w:w="2389"/>
            <w:tcBorders>
              <w:top w:val="single" w:color="BFBFBF" w:sz="4"/>
              <w:left w:val="none" w:color="FFFFFF" w:sz="0"/>
              <w:bottom w:val="single" w:color="BFBFBF" w:sz="4"/>
              <w:right w:val="none" w:color="FFFFFF" w:sz="0"/>
            </w:tcBorders>
            <w:shd w:fill="E9EEF4" w:color="auto" w:val="clear"/>
            <w:tcMar>
              <w:top w:type="dxa" w:w="40"/>
              <w:left w:type="dxa" w:w="90"/>
              <w:bottom w:type="dxa" w:w="40"/>
              <w:right w:type="dxa" w:w="90"/>
            </w:tcMar>
            <w:vAlign w:val="center"/>
          </w:tcPr>
          <w:p>
            <w:pPr>
              <w:keepNext/>
              <w:spacing w:after="0"/>
              <w:jc w:val="left"/>
            </w:pPr>
            <w:r>
              <w:rPr>
                <w:b/>
                <w:bCs/>
                <w:sz w:val="18"/>
                <w:szCs w:val="18"/>
              </w:rPr>
              <w:t xml:space="preserve">Tipo estadístico</w:t>
            </w:r>
          </w:p>
        </w:tc>
        <w:tc>
          <w:tcPr>
            <w:tcW w:type="dxa" w:w="7135"/>
            <w:tcBorders>
              <w:top w:val="single" w:color="BFBFBF" w:sz="4"/>
              <w:left w:val="none" w:color="FFFFFF" w:sz="0"/>
              <w:bottom w:val="single" w:color="BFBFBF" w:sz="4"/>
              <w:right w:val="none" w:color="FFFFFF" w:sz="0"/>
            </w:tcBorders>
            <w:shd w:fill="E9EEF4" w:color="auto" w:val="clear"/>
            <w:tcMar>
              <w:top w:type="dxa" w:w="40"/>
              <w:left w:type="dxa" w:w="90"/>
              <w:bottom w:type="dxa" w:w="40"/>
              <w:right w:type="dxa" w:w="90"/>
            </w:tcMar>
            <w:vAlign w:val="center"/>
          </w:tcPr>
          <w:p>
            <w:pPr>
              <w:keepNext/>
              <w:spacing w:after="0"/>
              <w:jc w:val="center"/>
            </w:pPr>
            <w:r>
              <w:rPr>
                <w:b/>
                <w:bCs/>
                <w:sz w:val="18"/>
                <w:szCs w:val="18"/>
              </w:rPr>
              <w:t xml:space="preserve">Variables</w:t>
            </w:r>
          </w:p>
        </w:tc>
        <w:tc>
          <w:tcPr>
            <w:tcW w:type="dxa" w:w="556"/>
            <w:tcBorders>
              <w:top w:val="single" w:color="BFBFBF" w:sz="4"/>
              <w:left w:val="none" w:color="FFFFFF" w:sz="0"/>
              <w:bottom w:val="single" w:color="BFBFBF" w:sz="4"/>
              <w:right w:val="none" w:color="FFFFFF" w:sz="0"/>
            </w:tcBorders>
            <w:shd w:fill="E9EEF4" w:color="auto" w:val="clear"/>
            <w:tcMar>
              <w:top w:type="dxa" w:w="40"/>
              <w:left w:type="dxa" w:w="90"/>
              <w:bottom w:type="dxa" w:w="40"/>
              <w:right w:type="dxa" w:w="90"/>
            </w:tcMar>
            <w:vAlign w:val="center"/>
          </w:tcPr>
          <w:p>
            <w:pPr>
              <w:keepNext/>
              <w:spacing w:after="0"/>
              <w:jc w:val="center"/>
            </w:pPr>
            <w:r>
              <w:rPr>
                <w:b/>
                <w:bCs/>
                <w:sz w:val="18"/>
                <w:szCs w:val="18"/>
              </w:rPr>
              <w:t xml:space="preserve">n</w:t>
            </w:r>
          </w:p>
        </w:tc>
      </w:tr>
      <w:tr>
        <w:trPr>
          <w:cantSplit/>
        </w:trPr>
        <w:tc>
          <w:tcPr>
            <w:tcW w:type="dxa" w:w="2389"/>
            <w:tcBorders>
              <w:top w:val="single" w:color="BFBFBF" w:sz="4"/>
              <w:left w:val="none" w:color="FFFFFF" w:sz="0"/>
              <w:bottom w:val="single" w:color="BFBFBF" w:sz="4"/>
              <w:right w:val="none" w:color="FFFFFF" w:sz="0"/>
            </w:tcBorders>
            <w:tcMar>
              <w:top w:type="dxa" w:w="40"/>
              <w:left w:type="dxa" w:w="90"/>
              <w:bottom w:type="dxa" w:w="40"/>
              <w:right w:type="dxa" w:w="90"/>
            </w:tcMar>
            <w:vAlign w:val="center"/>
          </w:tcPr>
          <w:p>
            <w:pPr>
              <w:keepNext/>
              <w:spacing w:after="0"/>
              <w:jc w:val="left"/>
            </w:pPr>
            <w:r>
              <w:rPr>
                <w:b w:val="false"/>
                <w:bCs w:val="false"/>
                <w:sz w:val="18"/>
                <w:szCs w:val="18"/>
              </w:rPr>
              <w:t xml:space="preserve">Cualitativa nominal</w:t>
            </w:r>
          </w:p>
        </w:tc>
        <w:tc>
          <w:tcPr>
            <w:tcW w:type="dxa" w:w="7135"/>
            <w:tcBorders>
              <w:top w:val="single" w:color="BFBFBF" w:sz="4"/>
              <w:left w:val="none" w:color="FFFFFF" w:sz="0"/>
              <w:bottom w:val="single" w:color="BFBFBF" w:sz="4"/>
              <w:right w:val="none" w:color="FFFFFF" w:sz="0"/>
            </w:tcBorders>
            <w:tcMar>
              <w:top w:type="dxa" w:w="40"/>
              <w:left w:type="dxa" w:w="90"/>
              <w:bottom w:type="dxa" w:w="40"/>
              <w:right w:type="dxa" w:w="90"/>
            </w:tcMar>
            <w:vAlign w:val="center"/>
          </w:tcPr>
          <w:p>
            <w:pPr>
              <w:keepNext/>
              <w:spacing w:after="0"/>
              <w:jc w:val="left"/>
            </w:pPr>
            <w:r>
              <w:rPr>
                <w:b/>
                <w:bCs/>
                <w:sz w:val="18"/>
                <w:szCs w:val="18"/>
              </w:rPr>
              <w:t xml:space="preserve">Attrition</w:t>
            </w:r>
            <w:r>
              <w:rPr>
                <w:b w:val="false"/>
                <w:bCs w:val="false"/>
                <w:sz w:val="18"/>
                <w:szCs w:val="18"/>
              </w:rPr>
              <w:t xml:space="preserve"> (objetivo), </w:t>
            </w:r>
            <w:r>
              <w:rPr>
                <w:b/>
                <w:bCs/>
                <w:sz w:val="18"/>
                <w:szCs w:val="18"/>
              </w:rPr>
              <w:t xml:space="preserve">OverTime</w:t>
            </w:r>
            <w:r>
              <w:rPr>
                <w:b w:val="false"/>
                <w:bCs w:val="false"/>
                <w:sz w:val="18"/>
                <w:szCs w:val="18"/>
              </w:rPr>
              <w:t xml:space="preserve">, Gender, Department, EducationField, JobRole, MaritalStatus</w:t>
            </w:r>
          </w:p>
        </w:tc>
        <w:tc>
          <w:tcPr>
            <w:tcW w:type="dxa" w:w="556"/>
            <w:tcBorders>
              <w:top w:val="single" w:color="BFBFBF" w:sz="4"/>
              <w:left w:val="none" w:color="FFFFFF" w:sz="0"/>
              <w:bottom w:val="single" w:color="BFBFBF" w:sz="4"/>
              <w:right w:val="none" w:color="FFFFFF" w:sz="0"/>
            </w:tcBorders>
            <w:tcMar>
              <w:top w:type="dxa" w:w="40"/>
              <w:left w:type="dxa" w:w="90"/>
              <w:bottom w:type="dxa" w:w="40"/>
              <w:right w:type="dxa" w:w="90"/>
            </w:tcMar>
            <w:vAlign w:val="center"/>
          </w:tcPr>
          <w:p>
            <w:pPr>
              <w:keepNext/>
              <w:spacing w:after="0"/>
              <w:jc w:val="center"/>
            </w:pPr>
            <w:r>
              <w:rPr>
                <w:b w:val="false"/>
                <w:bCs w:val="false"/>
                <w:sz w:val="18"/>
                <w:szCs w:val="18"/>
              </w:rPr>
              <w:t xml:space="preserve">7</w:t>
            </w:r>
          </w:p>
        </w:tc>
      </w:tr>
      <w:tr>
        <w:trPr>
          <w:cantSplit/>
        </w:trPr>
        <w:tc>
          <w:tcPr>
            <w:tcW w:type="dxa" w:w="2389"/>
            <w:tcBorders>
              <w:top w:val="single" w:color="BFBFBF" w:sz="4"/>
              <w:left w:val="none" w:color="FFFFFF" w:sz="0"/>
              <w:bottom w:val="single" w:color="BFBFBF" w:sz="4"/>
              <w:right w:val="none" w:color="FFFFFF" w:sz="0"/>
            </w:tcBorders>
            <w:tcMar>
              <w:top w:type="dxa" w:w="40"/>
              <w:left w:type="dxa" w:w="90"/>
              <w:bottom w:type="dxa" w:w="40"/>
              <w:right w:type="dxa" w:w="90"/>
            </w:tcMar>
            <w:vAlign w:val="center"/>
          </w:tcPr>
          <w:p>
            <w:pPr>
              <w:keepNext/>
              <w:spacing w:after="0"/>
              <w:jc w:val="left"/>
            </w:pPr>
            <w:r>
              <w:rPr>
                <w:b w:val="false"/>
                <w:bCs w:val="false"/>
                <w:sz w:val="18"/>
                <w:szCs w:val="18"/>
              </w:rPr>
              <w:t xml:space="preserve">Cualitativa ordinal</w:t>
            </w:r>
          </w:p>
        </w:tc>
        <w:tc>
          <w:tcPr>
            <w:tcW w:type="dxa" w:w="7135"/>
            <w:tcBorders>
              <w:top w:val="single" w:color="BFBFBF" w:sz="4"/>
              <w:left w:val="none" w:color="FFFFFF" w:sz="0"/>
              <w:bottom w:val="single" w:color="BFBFBF" w:sz="4"/>
              <w:right w:val="none" w:color="FFFFFF" w:sz="0"/>
            </w:tcBorders>
            <w:tcMar>
              <w:top w:type="dxa" w:w="40"/>
              <w:left w:type="dxa" w:w="90"/>
              <w:bottom w:type="dxa" w:w="40"/>
              <w:right w:type="dxa" w:w="90"/>
            </w:tcMar>
            <w:vAlign w:val="center"/>
          </w:tcPr>
          <w:p>
            <w:pPr>
              <w:keepNext/>
              <w:spacing w:after="0"/>
              <w:jc w:val="left"/>
            </w:pPr>
            <w:r>
              <w:rPr>
                <w:b/>
                <w:bCs/>
                <w:sz w:val="18"/>
                <w:szCs w:val="18"/>
              </w:rPr>
              <w:t xml:space="preserve">JobSatisfaction</w:t>
            </w:r>
            <w:r>
              <w:rPr>
                <w:b w:val="false"/>
                <w:bCs w:val="false"/>
                <w:sz w:val="18"/>
                <w:szCs w:val="18"/>
              </w:rPr>
              <w:t xml:space="preserve">, BusinessTravel, Education, EnvironmentSatisfaction, JobInvolvement, JobLevel, PerformanceRating, RelationshipSatisfaction, StockOptionLevel, WorkLifeBalance</w:t>
            </w:r>
          </w:p>
        </w:tc>
        <w:tc>
          <w:tcPr>
            <w:tcW w:type="dxa" w:w="556"/>
            <w:tcBorders>
              <w:top w:val="single" w:color="BFBFBF" w:sz="4"/>
              <w:left w:val="none" w:color="FFFFFF" w:sz="0"/>
              <w:bottom w:val="single" w:color="BFBFBF" w:sz="4"/>
              <w:right w:val="none" w:color="FFFFFF" w:sz="0"/>
            </w:tcBorders>
            <w:tcMar>
              <w:top w:type="dxa" w:w="40"/>
              <w:left w:type="dxa" w:w="90"/>
              <w:bottom w:type="dxa" w:w="40"/>
              <w:right w:type="dxa" w:w="90"/>
            </w:tcMar>
            <w:vAlign w:val="center"/>
          </w:tcPr>
          <w:p>
            <w:pPr>
              <w:keepNext/>
              <w:spacing w:after="0"/>
              <w:jc w:val="center"/>
            </w:pPr>
            <w:r>
              <w:rPr>
                <w:b w:val="false"/>
                <w:bCs w:val="false"/>
                <w:sz w:val="18"/>
                <w:szCs w:val="18"/>
              </w:rPr>
              <w:t xml:space="preserve">10</w:t>
            </w:r>
          </w:p>
        </w:tc>
      </w:tr>
      <w:tr>
        <w:trPr>
          <w:cantSplit/>
        </w:trPr>
        <w:tc>
          <w:tcPr>
            <w:tcW w:type="dxa" w:w="2389"/>
            <w:tcBorders>
              <w:top w:val="single" w:color="BFBFBF" w:sz="4"/>
              <w:left w:val="none" w:color="FFFFFF" w:sz="0"/>
              <w:bottom w:val="single" w:color="BFBFBF" w:sz="4"/>
              <w:right w:val="none" w:color="FFFFFF" w:sz="0"/>
            </w:tcBorders>
            <w:tcMar>
              <w:top w:type="dxa" w:w="40"/>
              <w:left w:type="dxa" w:w="90"/>
              <w:bottom w:type="dxa" w:w="40"/>
              <w:right w:type="dxa" w:w="90"/>
            </w:tcMar>
            <w:vAlign w:val="center"/>
          </w:tcPr>
          <w:p>
            <w:pPr>
              <w:keepNext/>
              <w:spacing w:after="0"/>
              <w:jc w:val="left"/>
            </w:pPr>
            <w:r>
              <w:rPr>
                <w:b w:val="false"/>
                <w:bCs w:val="false"/>
                <w:sz w:val="18"/>
                <w:szCs w:val="18"/>
              </w:rPr>
              <w:t xml:space="preserve">Cuantitativa discreta</w:t>
            </w:r>
          </w:p>
        </w:tc>
        <w:tc>
          <w:tcPr>
            <w:tcW w:type="dxa" w:w="7135"/>
            <w:tcBorders>
              <w:top w:val="single" w:color="BFBFBF" w:sz="4"/>
              <w:left w:val="none" w:color="FFFFFF" w:sz="0"/>
              <w:bottom w:val="single" w:color="BFBFBF" w:sz="4"/>
              <w:right w:val="none" w:color="FFFFFF" w:sz="0"/>
            </w:tcBorders>
            <w:tcMar>
              <w:top w:type="dxa" w:w="40"/>
              <w:left w:type="dxa" w:w="90"/>
              <w:bottom w:type="dxa" w:w="40"/>
              <w:right w:type="dxa" w:w="90"/>
            </w:tcMar>
            <w:vAlign w:val="center"/>
          </w:tcPr>
          <w:p>
            <w:pPr>
              <w:keepNext/>
              <w:spacing w:after="0"/>
              <w:jc w:val="left"/>
            </w:pPr>
            <w:r>
              <w:rPr>
                <w:b w:val="false"/>
                <w:bCs w:val="false"/>
                <w:sz w:val="18"/>
                <w:szCs w:val="18"/>
              </w:rPr>
              <w:t xml:space="preserve">NumCompaniesWorked, TrainingTimesLastYear</w:t>
            </w:r>
          </w:p>
        </w:tc>
        <w:tc>
          <w:tcPr>
            <w:tcW w:type="dxa" w:w="556"/>
            <w:tcBorders>
              <w:top w:val="single" w:color="BFBFBF" w:sz="4"/>
              <w:left w:val="none" w:color="FFFFFF" w:sz="0"/>
              <w:bottom w:val="single" w:color="BFBFBF" w:sz="4"/>
              <w:right w:val="none" w:color="FFFFFF" w:sz="0"/>
            </w:tcBorders>
            <w:tcMar>
              <w:top w:type="dxa" w:w="40"/>
              <w:left w:type="dxa" w:w="90"/>
              <w:bottom w:type="dxa" w:w="40"/>
              <w:right w:type="dxa" w:w="90"/>
            </w:tcMar>
            <w:vAlign w:val="center"/>
          </w:tcPr>
          <w:p>
            <w:pPr>
              <w:keepNext/>
              <w:spacing w:after="0"/>
              <w:jc w:val="center"/>
            </w:pPr>
            <w:r>
              <w:rPr>
                <w:b w:val="false"/>
                <w:bCs w:val="false"/>
                <w:sz w:val="18"/>
                <w:szCs w:val="18"/>
              </w:rPr>
              <w:t xml:space="preserve">2</w:t>
            </w:r>
          </w:p>
        </w:tc>
      </w:tr>
      <w:tr>
        <w:trPr>
          <w:cantSplit/>
        </w:trPr>
        <w:tc>
          <w:tcPr>
            <w:tcW w:type="dxa" w:w="2389"/>
            <w:tcBorders>
              <w:top w:val="single" w:color="BFBFBF" w:sz="4"/>
              <w:left w:val="none" w:color="FFFFFF" w:sz="0"/>
              <w:bottom w:val="single" w:color="BFBFBF" w:sz="4"/>
              <w:right w:val="none" w:color="FFFFFF" w:sz="0"/>
            </w:tcBorders>
            <w:tcMar>
              <w:top w:type="dxa" w:w="40"/>
              <w:left w:type="dxa" w:w="90"/>
              <w:bottom w:type="dxa" w:w="40"/>
              <w:right w:type="dxa" w:w="90"/>
            </w:tcMar>
            <w:vAlign w:val="center"/>
          </w:tcPr>
          <w:p>
            <w:pPr>
              <w:keepNext/>
              <w:spacing w:after="0"/>
              <w:jc w:val="left"/>
            </w:pPr>
            <w:r>
              <w:rPr>
                <w:b w:val="false"/>
                <w:bCs w:val="false"/>
                <w:sz w:val="18"/>
                <w:szCs w:val="18"/>
              </w:rPr>
              <w:t xml:space="preserve">Cuantitativa continua</w:t>
            </w:r>
          </w:p>
        </w:tc>
        <w:tc>
          <w:tcPr>
            <w:tcW w:type="dxa" w:w="7135"/>
            <w:tcBorders>
              <w:top w:val="single" w:color="BFBFBF" w:sz="4"/>
              <w:left w:val="none" w:color="FFFFFF" w:sz="0"/>
              <w:bottom w:val="single" w:color="BFBFBF" w:sz="4"/>
              <w:right w:val="none" w:color="FFFFFF" w:sz="0"/>
            </w:tcBorders>
            <w:tcMar>
              <w:top w:type="dxa" w:w="40"/>
              <w:left w:type="dxa" w:w="90"/>
              <w:bottom w:type="dxa" w:w="40"/>
              <w:right w:type="dxa" w:w="90"/>
            </w:tcMar>
            <w:vAlign w:val="center"/>
          </w:tcPr>
          <w:p>
            <w:pPr>
              <w:keepNext/>
              <w:spacing w:after="0"/>
              <w:jc w:val="left"/>
            </w:pPr>
            <w:r>
              <w:rPr>
                <w:b/>
                <w:bCs/>
                <w:sz w:val="18"/>
                <w:szCs w:val="18"/>
              </w:rPr>
              <w:t xml:space="preserve">MonthlyIncome</w:t>
            </w:r>
            <w:r>
              <w:rPr>
                <w:b w:val="false"/>
                <w:bCs w:val="false"/>
                <w:sz w:val="18"/>
                <w:szCs w:val="18"/>
              </w:rPr>
              <w:t xml:space="preserve">, </w:t>
            </w:r>
            <w:r>
              <w:rPr>
                <w:b/>
                <w:bCs/>
                <w:sz w:val="18"/>
                <w:szCs w:val="18"/>
              </w:rPr>
              <w:t xml:space="preserve">YearsAtCompany</w:t>
            </w:r>
            <w:r>
              <w:rPr>
                <w:b w:val="false"/>
                <w:bCs w:val="false"/>
                <w:sz w:val="18"/>
                <w:szCs w:val="18"/>
              </w:rPr>
              <w:t xml:space="preserve">, Age, DistanceFromHome, PercentSalaryHike, TotalWorkingYears, YearsInCurrentRole, YearsSinceLastPromotion, YearsWithCurrManager, DailyRate, HourlyRate, MonthlyRate</w:t>
            </w:r>
          </w:p>
        </w:tc>
        <w:tc>
          <w:tcPr>
            <w:tcW w:type="dxa" w:w="556"/>
            <w:tcBorders>
              <w:top w:val="single" w:color="BFBFBF" w:sz="4"/>
              <w:left w:val="none" w:color="FFFFFF" w:sz="0"/>
              <w:bottom w:val="single" w:color="BFBFBF" w:sz="4"/>
              <w:right w:val="none" w:color="FFFFFF" w:sz="0"/>
            </w:tcBorders>
            <w:tcMar>
              <w:top w:type="dxa" w:w="40"/>
              <w:left w:type="dxa" w:w="90"/>
              <w:bottom w:type="dxa" w:w="40"/>
              <w:right w:type="dxa" w:w="90"/>
            </w:tcMar>
            <w:vAlign w:val="center"/>
          </w:tcPr>
          <w:p>
            <w:pPr>
              <w:keepNext/>
              <w:spacing w:after="0"/>
              <w:jc w:val="center"/>
            </w:pPr>
            <w:r>
              <w:rPr>
                <w:b w:val="false"/>
                <w:bCs w:val="false"/>
                <w:sz w:val="18"/>
                <w:szCs w:val="18"/>
              </w:rPr>
              <w:t xml:space="preserve">12</w:t>
            </w:r>
          </w:p>
        </w:tc>
      </w:tr>
      <w:tr>
        <w:trPr>
          <w:cantSplit/>
        </w:trPr>
        <w:tc>
          <w:tcPr>
            <w:tcW w:type="dxa" w:w="2389"/>
            <w:tcBorders>
              <w:top w:val="single" w:color="BFBFBF" w:sz="4"/>
              <w:left w:val="none" w:color="FFFFFF" w:sz="0"/>
              <w:bottom w:val="single" w:color="BFBFBF" w:sz="4"/>
              <w:right w:val="none" w:color="FFFFFF" w:sz="0"/>
            </w:tcBorders>
            <w:tcMar>
              <w:top w:type="dxa" w:w="40"/>
              <w:left w:type="dxa" w:w="90"/>
              <w:bottom w:type="dxa" w:w="40"/>
              <w:right w:type="dxa" w:w="90"/>
            </w:tcMar>
            <w:vAlign w:val="center"/>
          </w:tcPr>
          <w:p>
            <w:pPr>
              <w:keepNext/>
              <w:spacing w:after="0"/>
              <w:jc w:val="left"/>
            </w:pPr>
            <w:r>
              <w:rPr>
                <w:b w:val="false"/>
                <w:bCs w:val="false"/>
                <w:sz w:val="18"/>
                <w:szCs w:val="18"/>
              </w:rPr>
              <w:t xml:space="preserve">Excluida</w:t>
            </w:r>
          </w:p>
        </w:tc>
        <w:tc>
          <w:tcPr>
            <w:tcW w:type="dxa" w:w="7135"/>
            <w:tcBorders>
              <w:top w:val="single" w:color="BFBFBF" w:sz="4"/>
              <w:left w:val="none" w:color="FFFFFF" w:sz="0"/>
              <w:bottom w:val="single" w:color="BFBFBF" w:sz="4"/>
              <w:right w:val="none" w:color="FFFFFF" w:sz="0"/>
            </w:tcBorders>
            <w:tcMar>
              <w:top w:type="dxa" w:w="40"/>
              <w:left w:type="dxa" w:w="90"/>
              <w:bottom w:type="dxa" w:w="40"/>
              <w:right w:type="dxa" w:w="90"/>
            </w:tcMar>
            <w:vAlign w:val="center"/>
          </w:tcPr>
          <w:p>
            <w:pPr>
              <w:keepNext/>
              <w:spacing w:after="0"/>
              <w:jc w:val="left"/>
            </w:pPr>
            <w:r>
              <w:rPr>
                <w:b w:val="false"/>
                <w:bCs w:val="false"/>
                <w:sz w:val="18"/>
                <w:szCs w:val="18"/>
              </w:rPr>
              <w:t xml:space="preserve">EmployeeNumber (identificador); EmployeeCount, Over18, StandardHours (constantes)</w:t>
            </w:r>
          </w:p>
        </w:tc>
        <w:tc>
          <w:tcPr>
            <w:tcW w:type="dxa" w:w="556"/>
            <w:tcBorders>
              <w:top w:val="single" w:color="BFBFBF" w:sz="4"/>
              <w:left w:val="none" w:color="FFFFFF" w:sz="0"/>
              <w:bottom w:val="single" w:color="BFBFBF" w:sz="4"/>
              <w:right w:val="none" w:color="FFFFFF" w:sz="0"/>
            </w:tcBorders>
            <w:tcMar>
              <w:top w:type="dxa" w:w="40"/>
              <w:left w:type="dxa" w:w="90"/>
              <w:bottom w:type="dxa" w:w="40"/>
              <w:right w:type="dxa" w:w="90"/>
            </w:tcMar>
            <w:vAlign w:val="center"/>
          </w:tcPr>
          <w:p>
            <w:pPr>
              <w:keepNext/>
              <w:spacing w:after="0"/>
              <w:jc w:val="center"/>
            </w:pPr>
            <w:r>
              <w:rPr>
                <w:b w:val="false"/>
                <w:bCs w:val="false"/>
                <w:sz w:val="18"/>
                <w:szCs w:val="18"/>
              </w:rPr>
              <w:t xml:space="preserve">4</w:t>
            </w:r>
          </w:p>
        </w:tc>
      </w:tr>
    </w:tbl>
    <w:p>
      <w:pPr>
        <w:keepNext w:val="false"/>
        <w:spacing w:after="120" w:before="60"/>
        <w:jc w:val="center"/>
      </w:pPr>
      <w:r>
        <w:rPr>
          <w:color w:val="404040"/>
          <w:sz w:val="19"/>
          <w:szCs w:val="19"/>
        </w:rPr>
        <w:t xml:space="preserve">Tabla 2. Clasificación de variables. En negrita, la objetivo y las cuatro variables de la pregunta.</w:t>
      </w:r>
    </w:p>
    <w:p>
      <w:pPr>
        <w:pStyle w:val="Heading1"/>
        <w:keepNext/>
        <w:spacing w:after="100" w:before="200"/>
      </w:pPr>
      <w:r>
        <w:t xml:space="preserve">2. Aplicación de estadística descriptiva</w:t>
      </w:r>
    </w:p>
    <w:p>
      <w:pPr>
        <w:spacing w:after="120" w:before="0" w:line="264"/>
        <w:jc w:val="both"/>
      </w:pPr>
      <w:r>
        <w:rPr>
          <w:b/>
          <w:bCs/>
        </w:rPr>
        <w:t xml:space="preserve">Preparación.</w:t>
      </w:r>
      <w:r>
        <w:t xml:space="preserve"> El conjunto no trae faltantes. Siguiendo el apunte de datasets del curso, generamos un 10 % de faltantes MCAR en </w:t>
      </w:r>
      <w:r>
        <w:rPr>
          <w:i/>
          <w:iCs/>
        </w:rPr>
        <w:t xml:space="preserve">MonthlyIncome</w:t>
      </w:r>
      <w:r>
        <w:t xml:space="preserve"> y </w:t>
      </w:r>
      <w:r>
        <w:rPr>
          <w:i/>
          <w:iCs/>
        </w:rPr>
        <w:t xml:space="preserve">DistanceFromHome</w:t>
      </w:r>
      <w:r>
        <w:t xml:space="preserve"> (147 valores en cada una), eligiendo posiciones al azar con semilla 42 y sin mirar ningún valor. Los valores retirados se guardaron en un archivo aparte para evaluar imputaciones en la Sumativa 3. Aquí no se imputa: ingreso y distancia se calculan con los 1.323 valores observados. Como control, la salida entre los registros con ingreso oculto (18,4 %) no difiere de la del resto (15,9 %; Fisher, </w:t>
      </w:r>
      <w:r>
        <w:rPr>
          <w:i/>
          <w:iCs/>
        </w:rPr>
        <w:t xml:space="preserve">p</w:t>
      </w:r>
      <w:r>
        <w:t xml:space="preserve"> = 0,41), coherente con un mecanismo completamente aleatorio.</w:t>
      </w:r>
    </w:p>
    <w:p>
      <w:pPr>
        <w:keepNext/>
        <w:spacing w:after="120" w:before="0" w:line="264"/>
        <w:jc w:val="both"/>
      </w:pPr>
      <w:r>
        <w:rPr>
          <w:b/>
          <w:bCs/>
        </w:rPr>
        <w:t xml:space="preserve">Variables cuantitativas.</w:t>
      </w:r>
      <w:r>
        <w:t xml:space="preserve"> La Tabla 3 resume centro, dispersión y forma. Ingreso y antigüedad tienen la media sobre la mediana y asimetría mayor que 1: una cola larga a la derecha, visible en la Figura 1. En ellas la mediana describe mejor al empleado típico (4.960 de ingreso y 5 años de antigüedad). El ingreso varía mucho (CV de 72 %). La edad, en cambio, es casi simétrica. Los valores extremos se conservan porque son posibles, no errores de registro.</w:t>
      </w:r>
    </w:p>
    <w:tbl>
      <w:tblPr>
        <w:tblW w:type="dxa" w:w="10080"/>
        <w:jc w:val="center"/>
        <w:tblBorders>
          <w:top w:val="single" w:color="auto" w:sz="4"/>
          <w:left w:val="single" w:color="auto" w:sz="4"/>
          <w:bottom w:val="single" w:color="auto" w:sz="4"/>
          <w:right w:val="single" w:color="auto" w:sz="4"/>
          <w:insideH w:val="single" w:color="auto" w:sz="4"/>
          <w:insideV w:val="single" w:color="auto" w:sz="4"/>
        </w:tblBorders>
      </w:tblPr>
      <w:tblGrid>
        <w:gridCol w:w="2523"/>
        <w:gridCol w:w="711"/>
        <w:gridCol w:w="1089"/>
        <w:gridCol w:w="1000"/>
        <w:gridCol w:w="1000"/>
        <w:gridCol w:w="889"/>
        <w:gridCol w:w="1756"/>
        <w:gridCol w:w="1112"/>
      </w:tblGrid>
      <w:tr>
        <w:trPr>
          <w:tblHeader/>
        </w:trPr>
        <w:tc>
          <w:tcPr>
            <w:tcW w:type="dxa" w:w="2523"/>
            <w:tcBorders>
              <w:top w:val="single" w:color="BFBFBF" w:sz="4"/>
              <w:left w:val="none" w:color="FFFFFF" w:sz="0"/>
              <w:bottom w:val="single" w:color="BFBFBF" w:sz="4"/>
              <w:right w:val="none" w:color="FFFFFF" w:sz="0"/>
            </w:tcBorders>
            <w:shd w:fill="E9EEF4" w:color="auto" w:val="clear"/>
            <w:tcMar>
              <w:top w:type="dxa" w:w="40"/>
              <w:left w:type="dxa" w:w="90"/>
              <w:bottom w:type="dxa" w:w="40"/>
              <w:right w:type="dxa" w:w="90"/>
            </w:tcMar>
            <w:vAlign w:val="center"/>
          </w:tcPr>
          <w:p>
            <w:pPr>
              <w:keepNext/>
              <w:spacing w:after="0"/>
              <w:jc w:val="left"/>
            </w:pPr>
            <w:r>
              <w:rPr>
                <w:b/>
                <w:bCs/>
                <w:sz w:val="18"/>
                <w:szCs w:val="18"/>
              </w:rPr>
              <w:t xml:space="preserve">Variable</w:t>
            </w:r>
          </w:p>
        </w:tc>
        <w:tc>
          <w:tcPr>
            <w:tcW w:type="dxa" w:w="711"/>
            <w:tcBorders>
              <w:top w:val="single" w:color="BFBFBF" w:sz="4"/>
              <w:left w:val="none" w:color="FFFFFF" w:sz="0"/>
              <w:bottom w:val="single" w:color="BFBFBF" w:sz="4"/>
              <w:right w:val="none" w:color="FFFFFF" w:sz="0"/>
            </w:tcBorders>
            <w:shd w:fill="E9EEF4" w:color="auto" w:val="clear"/>
            <w:tcMar>
              <w:top w:type="dxa" w:w="40"/>
              <w:left w:type="dxa" w:w="90"/>
              <w:bottom w:type="dxa" w:w="40"/>
              <w:right w:type="dxa" w:w="90"/>
            </w:tcMar>
            <w:vAlign w:val="center"/>
          </w:tcPr>
          <w:p>
            <w:pPr>
              <w:keepNext/>
              <w:spacing w:after="0"/>
              <w:jc w:val="center"/>
            </w:pPr>
            <w:r>
              <w:rPr>
                <w:b/>
                <w:bCs/>
                <w:sz w:val="18"/>
                <w:szCs w:val="18"/>
              </w:rPr>
              <w:t xml:space="preserve">n</w:t>
            </w:r>
          </w:p>
        </w:tc>
        <w:tc>
          <w:tcPr>
            <w:tcW w:type="dxa" w:w="1089"/>
            <w:tcBorders>
              <w:top w:val="single" w:color="BFBFBF" w:sz="4"/>
              <w:left w:val="none" w:color="FFFFFF" w:sz="0"/>
              <w:bottom w:val="single" w:color="BFBFBF" w:sz="4"/>
              <w:right w:val="none" w:color="FFFFFF" w:sz="0"/>
            </w:tcBorders>
            <w:shd w:fill="E9EEF4" w:color="auto" w:val="clear"/>
            <w:tcMar>
              <w:top w:type="dxa" w:w="40"/>
              <w:left w:type="dxa" w:w="90"/>
              <w:bottom w:type="dxa" w:w="40"/>
              <w:right w:type="dxa" w:w="90"/>
            </w:tcMar>
            <w:vAlign w:val="center"/>
          </w:tcPr>
          <w:p>
            <w:pPr>
              <w:keepNext/>
              <w:spacing w:after="0"/>
              <w:jc w:val="center"/>
            </w:pPr>
            <w:r>
              <w:rPr>
                <w:b/>
                <w:bCs/>
                <w:sz w:val="18"/>
                <w:szCs w:val="18"/>
              </w:rPr>
              <w:t xml:space="preserve">Media</w:t>
            </w:r>
          </w:p>
        </w:tc>
        <w:tc>
          <w:tcPr>
            <w:tcW w:type="dxa" w:w="1000"/>
            <w:tcBorders>
              <w:top w:val="single" w:color="BFBFBF" w:sz="4"/>
              <w:left w:val="none" w:color="FFFFFF" w:sz="0"/>
              <w:bottom w:val="single" w:color="BFBFBF" w:sz="4"/>
              <w:right w:val="none" w:color="FFFFFF" w:sz="0"/>
            </w:tcBorders>
            <w:shd w:fill="E9EEF4" w:color="auto" w:val="clear"/>
            <w:tcMar>
              <w:top w:type="dxa" w:w="40"/>
              <w:left w:type="dxa" w:w="90"/>
              <w:bottom w:type="dxa" w:w="40"/>
              <w:right w:type="dxa" w:w="90"/>
            </w:tcMar>
            <w:vAlign w:val="center"/>
          </w:tcPr>
          <w:p>
            <w:pPr>
              <w:keepNext/>
              <w:spacing w:after="0"/>
              <w:jc w:val="center"/>
            </w:pPr>
            <w:r>
              <w:rPr>
                <w:b/>
                <w:bCs/>
                <w:sz w:val="18"/>
                <w:szCs w:val="18"/>
              </w:rPr>
              <w:t xml:space="preserve">Mediana</w:t>
            </w:r>
          </w:p>
        </w:tc>
        <w:tc>
          <w:tcPr>
            <w:tcW w:type="dxa" w:w="1000"/>
            <w:tcBorders>
              <w:top w:val="single" w:color="BFBFBF" w:sz="4"/>
              <w:left w:val="none" w:color="FFFFFF" w:sz="0"/>
              <w:bottom w:val="single" w:color="BFBFBF" w:sz="4"/>
              <w:right w:val="none" w:color="FFFFFF" w:sz="0"/>
            </w:tcBorders>
            <w:shd w:fill="E9EEF4" w:color="auto" w:val="clear"/>
            <w:tcMar>
              <w:top w:type="dxa" w:w="40"/>
              <w:left w:type="dxa" w:w="90"/>
              <w:bottom w:type="dxa" w:w="40"/>
              <w:right w:type="dxa" w:w="90"/>
            </w:tcMar>
            <w:vAlign w:val="center"/>
          </w:tcPr>
          <w:p>
            <w:pPr>
              <w:keepNext/>
              <w:spacing w:after="0"/>
              <w:jc w:val="center"/>
            </w:pPr>
            <w:r>
              <w:rPr>
                <w:b/>
                <w:bCs/>
                <w:sz w:val="18"/>
                <w:szCs w:val="18"/>
              </w:rPr>
              <w:t xml:space="preserve">DE</w:t>
            </w:r>
          </w:p>
        </w:tc>
        <w:tc>
          <w:tcPr>
            <w:tcW w:type="dxa" w:w="889"/>
            <w:tcBorders>
              <w:top w:val="single" w:color="BFBFBF" w:sz="4"/>
              <w:left w:val="none" w:color="FFFFFF" w:sz="0"/>
              <w:bottom w:val="single" w:color="BFBFBF" w:sz="4"/>
              <w:right w:val="none" w:color="FFFFFF" w:sz="0"/>
            </w:tcBorders>
            <w:shd w:fill="E9EEF4" w:color="auto" w:val="clear"/>
            <w:tcMar>
              <w:top w:type="dxa" w:w="40"/>
              <w:left w:type="dxa" w:w="90"/>
              <w:bottom w:type="dxa" w:w="40"/>
              <w:right w:type="dxa" w:w="90"/>
            </w:tcMar>
            <w:vAlign w:val="center"/>
          </w:tcPr>
          <w:p>
            <w:pPr>
              <w:keepNext/>
              <w:spacing w:after="0"/>
              <w:jc w:val="center"/>
            </w:pPr>
            <w:r>
              <w:rPr>
                <w:b/>
                <w:bCs/>
                <w:sz w:val="18"/>
                <w:szCs w:val="18"/>
              </w:rPr>
              <w:t xml:space="preserve">CV (%)</w:t>
            </w:r>
          </w:p>
        </w:tc>
        <w:tc>
          <w:tcPr>
            <w:tcW w:type="dxa" w:w="1756"/>
            <w:tcBorders>
              <w:top w:val="single" w:color="BFBFBF" w:sz="4"/>
              <w:left w:val="none" w:color="FFFFFF" w:sz="0"/>
              <w:bottom w:val="single" w:color="BFBFBF" w:sz="4"/>
              <w:right w:val="none" w:color="FFFFFF" w:sz="0"/>
            </w:tcBorders>
            <w:shd w:fill="E9EEF4" w:color="auto" w:val="clear"/>
            <w:tcMar>
              <w:top w:type="dxa" w:w="40"/>
              <w:left w:type="dxa" w:w="90"/>
              <w:bottom w:type="dxa" w:w="40"/>
              <w:right w:type="dxa" w:w="90"/>
            </w:tcMar>
            <w:vAlign w:val="center"/>
          </w:tcPr>
          <w:p>
            <w:pPr>
              <w:keepNext/>
              <w:spacing w:after="0"/>
              <w:jc w:val="center"/>
            </w:pPr>
            <w:r>
              <w:rPr>
                <w:b/>
                <w:bCs/>
                <w:sz w:val="18"/>
                <w:szCs w:val="18"/>
              </w:rPr>
              <w:t xml:space="preserve">Mín – Máx</w:t>
            </w:r>
          </w:p>
        </w:tc>
        <w:tc>
          <w:tcPr>
            <w:tcW w:type="dxa" w:w="1112"/>
            <w:tcBorders>
              <w:top w:val="single" w:color="BFBFBF" w:sz="4"/>
              <w:left w:val="none" w:color="FFFFFF" w:sz="0"/>
              <w:bottom w:val="single" w:color="BFBFBF" w:sz="4"/>
              <w:right w:val="none" w:color="FFFFFF" w:sz="0"/>
            </w:tcBorders>
            <w:shd w:fill="E9EEF4" w:color="auto" w:val="clear"/>
            <w:tcMar>
              <w:top w:type="dxa" w:w="40"/>
              <w:left w:type="dxa" w:w="90"/>
              <w:bottom w:type="dxa" w:w="40"/>
              <w:right w:type="dxa" w:w="90"/>
            </w:tcMar>
            <w:vAlign w:val="center"/>
          </w:tcPr>
          <w:p>
            <w:pPr>
              <w:keepNext/>
              <w:spacing w:after="0"/>
              <w:jc w:val="center"/>
            </w:pPr>
            <w:r>
              <w:rPr>
                <w:b/>
                <w:bCs/>
                <w:sz w:val="18"/>
                <w:szCs w:val="18"/>
              </w:rPr>
              <w:t xml:space="preserve">Asimetría</w:t>
            </w:r>
          </w:p>
        </w:tc>
      </w:tr>
      <w:tr>
        <w:trPr>
          <w:cantSplit/>
        </w:trPr>
        <w:tc>
          <w:tcPr>
            <w:tcW w:type="dxa" w:w="2523"/>
            <w:tcBorders>
              <w:top w:val="single" w:color="BFBFBF" w:sz="4"/>
              <w:left w:val="none" w:color="FFFFFF" w:sz="0"/>
              <w:bottom w:val="single" w:color="BFBFBF" w:sz="4"/>
              <w:right w:val="none" w:color="FFFFFF" w:sz="0"/>
            </w:tcBorders>
            <w:tcMar>
              <w:top w:type="dxa" w:w="40"/>
              <w:left w:type="dxa" w:w="90"/>
              <w:bottom w:type="dxa" w:w="40"/>
              <w:right w:type="dxa" w:w="90"/>
            </w:tcMar>
            <w:vAlign w:val="center"/>
          </w:tcPr>
          <w:p>
            <w:pPr>
              <w:keepNext/>
              <w:spacing w:after="0"/>
              <w:jc w:val="left"/>
            </w:pPr>
            <w:r>
              <w:rPr>
                <w:b w:val="false"/>
                <w:bCs w:val="false"/>
                <w:sz w:val="18"/>
                <w:szCs w:val="18"/>
              </w:rPr>
              <w:t xml:space="preserve">Edad (años)</w:t>
            </w:r>
          </w:p>
        </w:tc>
        <w:tc>
          <w:tcPr>
            <w:tcW w:type="dxa" w:w="711"/>
            <w:tcBorders>
              <w:top w:val="single" w:color="BFBFBF" w:sz="4"/>
              <w:left w:val="none" w:color="FFFFFF" w:sz="0"/>
              <w:bottom w:val="single" w:color="BFBFBF" w:sz="4"/>
              <w:right w:val="none" w:color="FFFFFF" w:sz="0"/>
            </w:tcBorders>
            <w:tcMar>
              <w:top w:type="dxa" w:w="40"/>
              <w:left w:type="dxa" w:w="90"/>
              <w:bottom w:type="dxa" w:w="40"/>
              <w:right w:type="dxa" w:w="90"/>
            </w:tcMar>
            <w:vAlign w:val="center"/>
          </w:tcPr>
          <w:p>
            <w:pPr>
              <w:keepNext/>
              <w:spacing w:after="0"/>
              <w:jc w:val="center"/>
            </w:pPr>
            <w:r>
              <w:rPr>
                <w:b w:val="false"/>
                <w:bCs w:val="false"/>
                <w:sz w:val="18"/>
                <w:szCs w:val="18"/>
              </w:rPr>
              <w:t xml:space="preserve">1.470</w:t>
            </w:r>
          </w:p>
        </w:tc>
        <w:tc>
          <w:tcPr>
            <w:tcW w:type="dxa" w:w="1089"/>
            <w:tcBorders>
              <w:top w:val="single" w:color="BFBFBF" w:sz="4"/>
              <w:left w:val="none" w:color="FFFFFF" w:sz="0"/>
              <w:bottom w:val="single" w:color="BFBFBF" w:sz="4"/>
              <w:right w:val="none" w:color="FFFFFF" w:sz="0"/>
            </w:tcBorders>
            <w:tcMar>
              <w:top w:type="dxa" w:w="40"/>
              <w:left w:type="dxa" w:w="90"/>
              <w:bottom w:type="dxa" w:w="40"/>
              <w:right w:type="dxa" w:w="90"/>
            </w:tcMar>
            <w:vAlign w:val="center"/>
          </w:tcPr>
          <w:p>
            <w:pPr>
              <w:keepNext/>
              <w:spacing w:after="0"/>
              <w:jc w:val="center"/>
            </w:pPr>
            <w:r>
              <w:rPr>
                <w:b w:val="false"/>
                <w:bCs w:val="false"/>
                <w:sz w:val="18"/>
                <w:szCs w:val="18"/>
              </w:rPr>
              <w:t xml:space="preserve">36,92</w:t>
            </w:r>
          </w:p>
        </w:tc>
        <w:tc>
          <w:tcPr>
            <w:tcW w:type="dxa" w:w="1000"/>
            <w:tcBorders>
              <w:top w:val="single" w:color="BFBFBF" w:sz="4"/>
              <w:left w:val="none" w:color="FFFFFF" w:sz="0"/>
              <w:bottom w:val="single" w:color="BFBFBF" w:sz="4"/>
              <w:right w:val="none" w:color="FFFFFF" w:sz="0"/>
            </w:tcBorders>
            <w:tcMar>
              <w:top w:type="dxa" w:w="40"/>
              <w:left w:type="dxa" w:w="90"/>
              <w:bottom w:type="dxa" w:w="40"/>
              <w:right w:type="dxa" w:w="90"/>
            </w:tcMar>
            <w:vAlign w:val="center"/>
          </w:tcPr>
          <w:p>
            <w:pPr>
              <w:keepNext/>
              <w:spacing w:after="0"/>
              <w:jc w:val="center"/>
            </w:pPr>
            <w:r>
              <w:rPr>
                <w:b w:val="false"/>
                <w:bCs w:val="false"/>
                <w:sz w:val="18"/>
                <w:szCs w:val="18"/>
              </w:rPr>
              <w:t xml:space="preserve">36</w:t>
            </w:r>
          </w:p>
        </w:tc>
        <w:tc>
          <w:tcPr>
            <w:tcW w:type="dxa" w:w="1000"/>
            <w:tcBorders>
              <w:top w:val="single" w:color="BFBFBF" w:sz="4"/>
              <w:left w:val="none" w:color="FFFFFF" w:sz="0"/>
              <w:bottom w:val="single" w:color="BFBFBF" w:sz="4"/>
              <w:right w:val="none" w:color="FFFFFF" w:sz="0"/>
            </w:tcBorders>
            <w:tcMar>
              <w:top w:type="dxa" w:w="40"/>
              <w:left w:type="dxa" w:w="90"/>
              <w:bottom w:type="dxa" w:w="40"/>
              <w:right w:type="dxa" w:w="90"/>
            </w:tcMar>
            <w:vAlign w:val="center"/>
          </w:tcPr>
          <w:p>
            <w:pPr>
              <w:keepNext/>
              <w:spacing w:after="0"/>
              <w:jc w:val="center"/>
            </w:pPr>
            <w:r>
              <w:rPr>
                <w:b w:val="false"/>
                <w:bCs w:val="false"/>
                <w:sz w:val="18"/>
                <w:szCs w:val="18"/>
              </w:rPr>
              <w:t xml:space="preserve">9,14</w:t>
            </w:r>
          </w:p>
        </w:tc>
        <w:tc>
          <w:tcPr>
            <w:tcW w:type="dxa" w:w="889"/>
            <w:tcBorders>
              <w:top w:val="single" w:color="BFBFBF" w:sz="4"/>
              <w:left w:val="none" w:color="FFFFFF" w:sz="0"/>
              <w:bottom w:val="single" w:color="BFBFBF" w:sz="4"/>
              <w:right w:val="none" w:color="FFFFFF" w:sz="0"/>
            </w:tcBorders>
            <w:tcMar>
              <w:top w:type="dxa" w:w="40"/>
              <w:left w:type="dxa" w:w="90"/>
              <w:bottom w:type="dxa" w:w="40"/>
              <w:right w:type="dxa" w:w="90"/>
            </w:tcMar>
            <w:vAlign w:val="center"/>
          </w:tcPr>
          <w:p>
            <w:pPr>
              <w:keepNext/>
              <w:spacing w:after="0"/>
              <w:jc w:val="center"/>
            </w:pPr>
            <w:r>
              <w:rPr>
                <w:b w:val="false"/>
                <w:bCs w:val="false"/>
                <w:sz w:val="18"/>
                <w:szCs w:val="18"/>
              </w:rPr>
              <w:t xml:space="preserve">24,7</w:t>
            </w:r>
          </w:p>
        </w:tc>
        <w:tc>
          <w:tcPr>
            <w:tcW w:type="dxa" w:w="1756"/>
            <w:tcBorders>
              <w:top w:val="single" w:color="BFBFBF" w:sz="4"/>
              <w:left w:val="none" w:color="FFFFFF" w:sz="0"/>
              <w:bottom w:val="single" w:color="BFBFBF" w:sz="4"/>
              <w:right w:val="none" w:color="FFFFFF" w:sz="0"/>
            </w:tcBorders>
            <w:tcMar>
              <w:top w:type="dxa" w:w="40"/>
              <w:left w:type="dxa" w:w="90"/>
              <w:bottom w:type="dxa" w:w="40"/>
              <w:right w:type="dxa" w:w="90"/>
            </w:tcMar>
            <w:vAlign w:val="center"/>
          </w:tcPr>
          <w:p>
            <w:pPr>
              <w:keepNext/>
              <w:spacing w:after="0"/>
              <w:jc w:val="center"/>
            </w:pPr>
            <w:r>
              <w:rPr>
                <w:b w:val="false"/>
                <w:bCs w:val="false"/>
                <w:sz w:val="18"/>
                <w:szCs w:val="18"/>
              </w:rPr>
              <w:t xml:space="preserve">18 – 60</w:t>
            </w:r>
          </w:p>
        </w:tc>
        <w:tc>
          <w:tcPr>
            <w:tcW w:type="dxa" w:w="1112"/>
            <w:tcBorders>
              <w:top w:val="single" w:color="BFBFBF" w:sz="4"/>
              <w:left w:val="none" w:color="FFFFFF" w:sz="0"/>
              <w:bottom w:val="single" w:color="BFBFBF" w:sz="4"/>
              <w:right w:val="none" w:color="FFFFFF" w:sz="0"/>
            </w:tcBorders>
            <w:tcMar>
              <w:top w:type="dxa" w:w="40"/>
              <w:left w:type="dxa" w:w="90"/>
              <w:bottom w:type="dxa" w:w="40"/>
              <w:right w:type="dxa" w:w="90"/>
            </w:tcMar>
            <w:vAlign w:val="center"/>
          </w:tcPr>
          <w:p>
            <w:pPr>
              <w:keepNext/>
              <w:spacing w:after="0"/>
              <w:jc w:val="center"/>
            </w:pPr>
            <w:r>
              <w:rPr>
                <w:b w:val="false"/>
                <w:bCs w:val="false"/>
                <w:sz w:val="18"/>
                <w:szCs w:val="18"/>
              </w:rPr>
              <w:t xml:space="preserve">0,41</w:t>
            </w:r>
          </w:p>
        </w:tc>
      </w:tr>
      <w:tr>
        <w:trPr>
          <w:cantSplit/>
        </w:trPr>
        <w:tc>
          <w:tcPr>
            <w:tcW w:type="dxa" w:w="2523"/>
            <w:tcBorders>
              <w:top w:val="single" w:color="BFBFBF" w:sz="4"/>
              <w:left w:val="none" w:color="FFFFFF" w:sz="0"/>
              <w:bottom w:val="single" w:color="BFBFBF" w:sz="4"/>
              <w:right w:val="none" w:color="FFFFFF" w:sz="0"/>
            </w:tcBorders>
            <w:tcMar>
              <w:top w:type="dxa" w:w="40"/>
              <w:left w:type="dxa" w:w="90"/>
              <w:bottom w:type="dxa" w:w="40"/>
              <w:right w:type="dxa" w:w="90"/>
            </w:tcMar>
            <w:vAlign w:val="center"/>
          </w:tcPr>
          <w:p>
            <w:pPr>
              <w:keepNext/>
              <w:spacing w:after="0"/>
              <w:jc w:val="left"/>
            </w:pPr>
            <w:r>
              <w:rPr>
                <w:b w:val="false"/>
                <w:bCs w:val="false"/>
                <w:sz w:val="18"/>
                <w:szCs w:val="18"/>
              </w:rPr>
              <w:t xml:space="preserve">Ingreso mensual</w:t>
            </w:r>
          </w:p>
        </w:tc>
        <w:tc>
          <w:tcPr>
            <w:tcW w:type="dxa" w:w="711"/>
            <w:tcBorders>
              <w:top w:val="single" w:color="BFBFBF" w:sz="4"/>
              <w:left w:val="none" w:color="FFFFFF" w:sz="0"/>
              <w:bottom w:val="single" w:color="BFBFBF" w:sz="4"/>
              <w:right w:val="none" w:color="FFFFFF" w:sz="0"/>
            </w:tcBorders>
            <w:tcMar>
              <w:top w:type="dxa" w:w="40"/>
              <w:left w:type="dxa" w:w="90"/>
              <w:bottom w:type="dxa" w:w="40"/>
              <w:right w:type="dxa" w:w="90"/>
            </w:tcMar>
            <w:vAlign w:val="center"/>
          </w:tcPr>
          <w:p>
            <w:pPr>
              <w:keepNext/>
              <w:spacing w:after="0"/>
              <w:jc w:val="center"/>
            </w:pPr>
            <w:r>
              <w:rPr>
                <w:b w:val="false"/>
                <w:bCs w:val="false"/>
                <w:sz w:val="18"/>
                <w:szCs w:val="18"/>
              </w:rPr>
              <w:t xml:space="preserve">1.323</w:t>
            </w:r>
          </w:p>
        </w:tc>
        <w:tc>
          <w:tcPr>
            <w:tcW w:type="dxa" w:w="1089"/>
            <w:tcBorders>
              <w:top w:val="single" w:color="BFBFBF" w:sz="4"/>
              <w:left w:val="none" w:color="FFFFFF" w:sz="0"/>
              <w:bottom w:val="single" w:color="BFBFBF" w:sz="4"/>
              <w:right w:val="none" w:color="FFFFFF" w:sz="0"/>
            </w:tcBorders>
            <w:tcMar>
              <w:top w:type="dxa" w:w="40"/>
              <w:left w:type="dxa" w:w="90"/>
              <w:bottom w:type="dxa" w:w="40"/>
              <w:right w:type="dxa" w:w="90"/>
            </w:tcMar>
            <w:vAlign w:val="center"/>
          </w:tcPr>
          <w:p>
            <w:pPr>
              <w:keepNext/>
              <w:spacing w:after="0"/>
              <w:jc w:val="center"/>
            </w:pPr>
            <w:r>
              <w:rPr>
                <w:b w:val="false"/>
                <w:bCs w:val="false"/>
                <w:sz w:val="18"/>
                <w:szCs w:val="18"/>
              </w:rPr>
              <w:t xml:space="preserve">6.530,21</w:t>
            </w:r>
          </w:p>
        </w:tc>
        <w:tc>
          <w:tcPr>
            <w:tcW w:type="dxa" w:w="1000"/>
            <w:tcBorders>
              <w:top w:val="single" w:color="BFBFBF" w:sz="4"/>
              <w:left w:val="none" w:color="FFFFFF" w:sz="0"/>
              <w:bottom w:val="single" w:color="BFBFBF" w:sz="4"/>
              <w:right w:val="none" w:color="FFFFFF" w:sz="0"/>
            </w:tcBorders>
            <w:tcMar>
              <w:top w:type="dxa" w:w="40"/>
              <w:left w:type="dxa" w:w="90"/>
              <w:bottom w:type="dxa" w:w="40"/>
              <w:right w:type="dxa" w:w="90"/>
            </w:tcMar>
            <w:vAlign w:val="center"/>
          </w:tcPr>
          <w:p>
            <w:pPr>
              <w:keepNext/>
              <w:spacing w:after="0"/>
              <w:jc w:val="center"/>
            </w:pPr>
            <w:r>
              <w:rPr>
                <w:b w:val="false"/>
                <w:bCs w:val="false"/>
                <w:sz w:val="18"/>
                <w:szCs w:val="18"/>
              </w:rPr>
              <w:t xml:space="preserve">4.960</w:t>
            </w:r>
          </w:p>
        </w:tc>
        <w:tc>
          <w:tcPr>
            <w:tcW w:type="dxa" w:w="1000"/>
            <w:tcBorders>
              <w:top w:val="single" w:color="BFBFBF" w:sz="4"/>
              <w:left w:val="none" w:color="FFFFFF" w:sz="0"/>
              <w:bottom w:val="single" w:color="BFBFBF" w:sz="4"/>
              <w:right w:val="none" w:color="FFFFFF" w:sz="0"/>
            </w:tcBorders>
            <w:tcMar>
              <w:top w:type="dxa" w:w="40"/>
              <w:left w:type="dxa" w:w="90"/>
              <w:bottom w:type="dxa" w:w="40"/>
              <w:right w:type="dxa" w:w="90"/>
            </w:tcMar>
            <w:vAlign w:val="center"/>
          </w:tcPr>
          <w:p>
            <w:pPr>
              <w:keepNext/>
              <w:spacing w:after="0"/>
              <w:jc w:val="center"/>
            </w:pPr>
            <w:r>
              <w:rPr>
                <w:b w:val="false"/>
                <w:bCs w:val="false"/>
                <w:sz w:val="18"/>
                <w:szCs w:val="18"/>
              </w:rPr>
              <w:t xml:space="preserve">4.708,33</w:t>
            </w:r>
          </w:p>
        </w:tc>
        <w:tc>
          <w:tcPr>
            <w:tcW w:type="dxa" w:w="889"/>
            <w:tcBorders>
              <w:top w:val="single" w:color="BFBFBF" w:sz="4"/>
              <w:left w:val="none" w:color="FFFFFF" w:sz="0"/>
              <w:bottom w:val="single" w:color="BFBFBF" w:sz="4"/>
              <w:right w:val="none" w:color="FFFFFF" w:sz="0"/>
            </w:tcBorders>
            <w:tcMar>
              <w:top w:type="dxa" w:w="40"/>
              <w:left w:type="dxa" w:w="90"/>
              <w:bottom w:type="dxa" w:w="40"/>
              <w:right w:type="dxa" w:w="90"/>
            </w:tcMar>
            <w:vAlign w:val="center"/>
          </w:tcPr>
          <w:p>
            <w:pPr>
              <w:keepNext/>
              <w:spacing w:after="0"/>
              <w:jc w:val="center"/>
            </w:pPr>
            <w:r>
              <w:rPr>
                <w:b w:val="false"/>
                <w:bCs w:val="false"/>
                <w:sz w:val="18"/>
                <w:szCs w:val="18"/>
              </w:rPr>
              <w:t xml:space="preserve">72,1</w:t>
            </w:r>
          </w:p>
        </w:tc>
        <w:tc>
          <w:tcPr>
            <w:tcW w:type="dxa" w:w="1756"/>
            <w:tcBorders>
              <w:top w:val="single" w:color="BFBFBF" w:sz="4"/>
              <w:left w:val="none" w:color="FFFFFF" w:sz="0"/>
              <w:bottom w:val="single" w:color="BFBFBF" w:sz="4"/>
              <w:right w:val="none" w:color="FFFFFF" w:sz="0"/>
            </w:tcBorders>
            <w:tcMar>
              <w:top w:type="dxa" w:w="40"/>
              <w:left w:type="dxa" w:w="90"/>
              <w:bottom w:type="dxa" w:w="40"/>
              <w:right w:type="dxa" w:w="90"/>
            </w:tcMar>
            <w:vAlign w:val="center"/>
          </w:tcPr>
          <w:p>
            <w:pPr>
              <w:keepNext/>
              <w:spacing w:after="0"/>
              <w:jc w:val="center"/>
            </w:pPr>
            <w:r>
              <w:rPr>
                <w:b w:val="false"/>
                <w:bCs w:val="false"/>
                <w:sz w:val="18"/>
                <w:szCs w:val="18"/>
              </w:rPr>
              <w:t xml:space="preserve">1.009 – 19.999</w:t>
            </w:r>
          </w:p>
        </w:tc>
        <w:tc>
          <w:tcPr>
            <w:tcW w:type="dxa" w:w="1112"/>
            <w:tcBorders>
              <w:top w:val="single" w:color="BFBFBF" w:sz="4"/>
              <w:left w:val="none" w:color="FFFFFF" w:sz="0"/>
              <w:bottom w:val="single" w:color="BFBFBF" w:sz="4"/>
              <w:right w:val="none" w:color="FFFFFF" w:sz="0"/>
            </w:tcBorders>
            <w:tcMar>
              <w:top w:type="dxa" w:w="40"/>
              <w:left w:type="dxa" w:w="90"/>
              <w:bottom w:type="dxa" w:w="40"/>
              <w:right w:type="dxa" w:w="90"/>
            </w:tcMar>
            <w:vAlign w:val="center"/>
          </w:tcPr>
          <w:p>
            <w:pPr>
              <w:keepNext/>
              <w:spacing w:after="0"/>
              <w:jc w:val="center"/>
            </w:pPr>
            <w:r>
              <w:rPr>
                <w:b w:val="false"/>
                <w:bCs w:val="false"/>
                <w:sz w:val="18"/>
                <w:szCs w:val="18"/>
              </w:rPr>
              <w:t xml:space="preserve">1,36</w:t>
            </w:r>
          </w:p>
        </w:tc>
      </w:tr>
      <w:tr>
        <w:trPr>
          <w:cantSplit/>
        </w:trPr>
        <w:tc>
          <w:tcPr>
            <w:tcW w:type="dxa" w:w="2523"/>
            <w:tcBorders>
              <w:top w:val="single" w:color="BFBFBF" w:sz="4"/>
              <w:left w:val="none" w:color="FFFFFF" w:sz="0"/>
              <w:bottom w:val="single" w:color="BFBFBF" w:sz="4"/>
              <w:right w:val="none" w:color="FFFFFF" w:sz="0"/>
            </w:tcBorders>
            <w:tcMar>
              <w:top w:type="dxa" w:w="40"/>
              <w:left w:type="dxa" w:w="90"/>
              <w:bottom w:type="dxa" w:w="40"/>
              <w:right w:type="dxa" w:w="90"/>
            </w:tcMar>
            <w:vAlign w:val="center"/>
          </w:tcPr>
          <w:p>
            <w:pPr>
              <w:keepNext/>
              <w:spacing w:after="0"/>
              <w:jc w:val="left"/>
            </w:pPr>
            <w:r>
              <w:rPr>
                <w:b w:val="false"/>
                <w:bCs w:val="false"/>
                <w:sz w:val="18"/>
                <w:szCs w:val="18"/>
              </w:rPr>
              <w:t xml:space="preserve">Antigüedad (años)</w:t>
            </w:r>
          </w:p>
        </w:tc>
        <w:tc>
          <w:tcPr>
            <w:tcW w:type="dxa" w:w="711"/>
            <w:tcBorders>
              <w:top w:val="single" w:color="BFBFBF" w:sz="4"/>
              <w:left w:val="none" w:color="FFFFFF" w:sz="0"/>
              <w:bottom w:val="single" w:color="BFBFBF" w:sz="4"/>
              <w:right w:val="none" w:color="FFFFFF" w:sz="0"/>
            </w:tcBorders>
            <w:tcMar>
              <w:top w:type="dxa" w:w="40"/>
              <w:left w:type="dxa" w:w="90"/>
              <w:bottom w:type="dxa" w:w="40"/>
              <w:right w:type="dxa" w:w="90"/>
            </w:tcMar>
            <w:vAlign w:val="center"/>
          </w:tcPr>
          <w:p>
            <w:pPr>
              <w:keepNext/>
              <w:spacing w:after="0"/>
              <w:jc w:val="center"/>
            </w:pPr>
            <w:r>
              <w:rPr>
                <w:b w:val="false"/>
                <w:bCs w:val="false"/>
                <w:sz w:val="18"/>
                <w:szCs w:val="18"/>
              </w:rPr>
              <w:t xml:space="preserve">1.470</w:t>
            </w:r>
          </w:p>
        </w:tc>
        <w:tc>
          <w:tcPr>
            <w:tcW w:type="dxa" w:w="1089"/>
            <w:tcBorders>
              <w:top w:val="single" w:color="BFBFBF" w:sz="4"/>
              <w:left w:val="none" w:color="FFFFFF" w:sz="0"/>
              <w:bottom w:val="single" w:color="BFBFBF" w:sz="4"/>
              <w:right w:val="none" w:color="FFFFFF" w:sz="0"/>
            </w:tcBorders>
            <w:tcMar>
              <w:top w:type="dxa" w:w="40"/>
              <w:left w:type="dxa" w:w="90"/>
              <w:bottom w:type="dxa" w:w="40"/>
              <w:right w:type="dxa" w:w="90"/>
            </w:tcMar>
            <w:vAlign w:val="center"/>
          </w:tcPr>
          <w:p>
            <w:pPr>
              <w:keepNext/>
              <w:spacing w:after="0"/>
              <w:jc w:val="center"/>
            </w:pPr>
            <w:r>
              <w:rPr>
                <w:b w:val="false"/>
                <w:bCs w:val="false"/>
                <w:sz w:val="18"/>
                <w:szCs w:val="18"/>
              </w:rPr>
              <w:t xml:space="preserve">7,01</w:t>
            </w:r>
          </w:p>
        </w:tc>
        <w:tc>
          <w:tcPr>
            <w:tcW w:type="dxa" w:w="1000"/>
            <w:tcBorders>
              <w:top w:val="single" w:color="BFBFBF" w:sz="4"/>
              <w:left w:val="none" w:color="FFFFFF" w:sz="0"/>
              <w:bottom w:val="single" w:color="BFBFBF" w:sz="4"/>
              <w:right w:val="none" w:color="FFFFFF" w:sz="0"/>
            </w:tcBorders>
            <w:tcMar>
              <w:top w:type="dxa" w:w="40"/>
              <w:left w:type="dxa" w:w="90"/>
              <w:bottom w:type="dxa" w:w="40"/>
              <w:right w:type="dxa" w:w="90"/>
            </w:tcMar>
            <w:vAlign w:val="center"/>
          </w:tcPr>
          <w:p>
            <w:pPr>
              <w:keepNext/>
              <w:spacing w:after="0"/>
              <w:jc w:val="center"/>
            </w:pPr>
            <w:r>
              <w:rPr>
                <w:b w:val="false"/>
                <w:bCs w:val="false"/>
                <w:sz w:val="18"/>
                <w:szCs w:val="18"/>
              </w:rPr>
              <w:t xml:space="preserve">5</w:t>
            </w:r>
          </w:p>
        </w:tc>
        <w:tc>
          <w:tcPr>
            <w:tcW w:type="dxa" w:w="1000"/>
            <w:tcBorders>
              <w:top w:val="single" w:color="BFBFBF" w:sz="4"/>
              <w:left w:val="none" w:color="FFFFFF" w:sz="0"/>
              <w:bottom w:val="single" w:color="BFBFBF" w:sz="4"/>
              <w:right w:val="none" w:color="FFFFFF" w:sz="0"/>
            </w:tcBorders>
            <w:tcMar>
              <w:top w:type="dxa" w:w="40"/>
              <w:left w:type="dxa" w:w="90"/>
              <w:bottom w:type="dxa" w:w="40"/>
              <w:right w:type="dxa" w:w="90"/>
            </w:tcMar>
            <w:vAlign w:val="center"/>
          </w:tcPr>
          <w:p>
            <w:pPr>
              <w:keepNext/>
              <w:spacing w:after="0"/>
              <w:jc w:val="center"/>
            </w:pPr>
            <w:r>
              <w:rPr>
                <w:b w:val="false"/>
                <w:bCs w:val="false"/>
                <w:sz w:val="18"/>
                <w:szCs w:val="18"/>
              </w:rPr>
              <w:t xml:space="preserve">6,13</w:t>
            </w:r>
          </w:p>
        </w:tc>
        <w:tc>
          <w:tcPr>
            <w:tcW w:type="dxa" w:w="889"/>
            <w:tcBorders>
              <w:top w:val="single" w:color="BFBFBF" w:sz="4"/>
              <w:left w:val="none" w:color="FFFFFF" w:sz="0"/>
              <w:bottom w:val="single" w:color="BFBFBF" w:sz="4"/>
              <w:right w:val="none" w:color="FFFFFF" w:sz="0"/>
            </w:tcBorders>
            <w:tcMar>
              <w:top w:type="dxa" w:w="40"/>
              <w:left w:type="dxa" w:w="90"/>
              <w:bottom w:type="dxa" w:w="40"/>
              <w:right w:type="dxa" w:w="90"/>
            </w:tcMar>
            <w:vAlign w:val="center"/>
          </w:tcPr>
          <w:p>
            <w:pPr>
              <w:keepNext/>
              <w:spacing w:after="0"/>
              <w:jc w:val="center"/>
            </w:pPr>
            <w:r>
              <w:rPr>
                <w:b w:val="false"/>
                <w:bCs w:val="false"/>
                <w:sz w:val="18"/>
                <w:szCs w:val="18"/>
              </w:rPr>
              <w:t xml:space="preserve">87,4</w:t>
            </w:r>
          </w:p>
        </w:tc>
        <w:tc>
          <w:tcPr>
            <w:tcW w:type="dxa" w:w="1756"/>
            <w:tcBorders>
              <w:top w:val="single" w:color="BFBFBF" w:sz="4"/>
              <w:left w:val="none" w:color="FFFFFF" w:sz="0"/>
              <w:bottom w:val="single" w:color="BFBFBF" w:sz="4"/>
              <w:right w:val="none" w:color="FFFFFF" w:sz="0"/>
            </w:tcBorders>
            <w:tcMar>
              <w:top w:type="dxa" w:w="40"/>
              <w:left w:type="dxa" w:w="90"/>
              <w:bottom w:type="dxa" w:w="40"/>
              <w:right w:type="dxa" w:w="90"/>
            </w:tcMar>
            <w:vAlign w:val="center"/>
          </w:tcPr>
          <w:p>
            <w:pPr>
              <w:keepNext/>
              <w:spacing w:after="0"/>
              <w:jc w:val="center"/>
            </w:pPr>
            <w:r>
              <w:rPr>
                <w:b w:val="false"/>
                <w:bCs w:val="false"/>
                <w:sz w:val="18"/>
                <w:szCs w:val="18"/>
              </w:rPr>
              <w:t xml:space="preserve">0 – 40</w:t>
            </w:r>
          </w:p>
        </w:tc>
        <w:tc>
          <w:tcPr>
            <w:tcW w:type="dxa" w:w="1112"/>
            <w:tcBorders>
              <w:top w:val="single" w:color="BFBFBF" w:sz="4"/>
              <w:left w:val="none" w:color="FFFFFF" w:sz="0"/>
              <w:bottom w:val="single" w:color="BFBFBF" w:sz="4"/>
              <w:right w:val="none" w:color="FFFFFF" w:sz="0"/>
            </w:tcBorders>
            <w:tcMar>
              <w:top w:type="dxa" w:w="40"/>
              <w:left w:type="dxa" w:w="90"/>
              <w:bottom w:type="dxa" w:w="40"/>
              <w:right w:type="dxa" w:w="90"/>
            </w:tcMar>
            <w:vAlign w:val="center"/>
          </w:tcPr>
          <w:p>
            <w:pPr>
              <w:keepNext/>
              <w:spacing w:after="0"/>
              <w:jc w:val="center"/>
            </w:pPr>
            <w:r>
              <w:rPr>
                <w:b w:val="false"/>
                <w:bCs w:val="false"/>
                <w:sz w:val="18"/>
                <w:szCs w:val="18"/>
              </w:rPr>
              <w:t xml:space="preserve">1,76</w:t>
            </w:r>
          </w:p>
        </w:tc>
      </w:tr>
      <w:tr>
        <w:trPr>
          <w:cantSplit/>
        </w:trPr>
        <w:tc>
          <w:tcPr>
            <w:tcW w:type="dxa" w:w="2523"/>
            <w:tcBorders>
              <w:top w:val="single" w:color="BFBFBF" w:sz="4"/>
              <w:left w:val="none" w:color="FFFFFF" w:sz="0"/>
              <w:bottom w:val="single" w:color="BFBFBF" w:sz="4"/>
              <w:right w:val="none" w:color="FFFFFF" w:sz="0"/>
            </w:tcBorders>
            <w:tcMar>
              <w:top w:type="dxa" w:w="40"/>
              <w:left w:type="dxa" w:w="90"/>
              <w:bottom w:type="dxa" w:w="40"/>
              <w:right w:type="dxa" w:w="90"/>
            </w:tcMar>
            <w:vAlign w:val="center"/>
          </w:tcPr>
          <w:p>
            <w:pPr>
              <w:keepNext/>
              <w:spacing w:after="0"/>
              <w:jc w:val="left"/>
            </w:pPr>
            <w:r>
              <w:rPr>
                <w:b w:val="false"/>
                <w:bCs w:val="false"/>
                <w:sz w:val="18"/>
                <w:szCs w:val="18"/>
              </w:rPr>
              <w:t xml:space="preserve">Experiencia total (años)</w:t>
            </w:r>
          </w:p>
        </w:tc>
        <w:tc>
          <w:tcPr>
            <w:tcW w:type="dxa" w:w="711"/>
            <w:tcBorders>
              <w:top w:val="single" w:color="BFBFBF" w:sz="4"/>
              <w:left w:val="none" w:color="FFFFFF" w:sz="0"/>
              <w:bottom w:val="single" w:color="BFBFBF" w:sz="4"/>
              <w:right w:val="none" w:color="FFFFFF" w:sz="0"/>
            </w:tcBorders>
            <w:tcMar>
              <w:top w:type="dxa" w:w="40"/>
              <w:left w:type="dxa" w:w="90"/>
              <w:bottom w:type="dxa" w:w="40"/>
              <w:right w:type="dxa" w:w="90"/>
            </w:tcMar>
            <w:vAlign w:val="center"/>
          </w:tcPr>
          <w:p>
            <w:pPr>
              <w:keepNext/>
              <w:spacing w:after="0"/>
              <w:jc w:val="center"/>
            </w:pPr>
            <w:r>
              <w:rPr>
                <w:b w:val="false"/>
                <w:bCs w:val="false"/>
                <w:sz w:val="18"/>
                <w:szCs w:val="18"/>
              </w:rPr>
              <w:t xml:space="preserve">1.470</w:t>
            </w:r>
          </w:p>
        </w:tc>
        <w:tc>
          <w:tcPr>
            <w:tcW w:type="dxa" w:w="1089"/>
            <w:tcBorders>
              <w:top w:val="single" w:color="BFBFBF" w:sz="4"/>
              <w:left w:val="none" w:color="FFFFFF" w:sz="0"/>
              <w:bottom w:val="single" w:color="BFBFBF" w:sz="4"/>
              <w:right w:val="none" w:color="FFFFFF" w:sz="0"/>
            </w:tcBorders>
            <w:tcMar>
              <w:top w:type="dxa" w:w="40"/>
              <w:left w:type="dxa" w:w="90"/>
              <w:bottom w:type="dxa" w:w="40"/>
              <w:right w:type="dxa" w:w="90"/>
            </w:tcMar>
            <w:vAlign w:val="center"/>
          </w:tcPr>
          <w:p>
            <w:pPr>
              <w:keepNext/>
              <w:spacing w:after="0"/>
              <w:jc w:val="center"/>
            </w:pPr>
            <w:r>
              <w:rPr>
                <w:b w:val="false"/>
                <w:bCs w:val="false"/>
                <w:sz w:val="18"/>
                <w:szCs w:val="18"/>
              </w:rPr>
              <w:t xml:space="preserve">11,28</w:t>
            </w:r>
          </w:p>
        </w:tc>
        <w:tc>
          <w:tcPr>
            <w:tcW w:type="dxa" w:w="1000"/>
            <w:tcBorders>
              <w:top w:val="single" w:color="BFBFBF" w:sz="4"/>
              <w:left w:val="none" w:color="FFFFFF" w:sz="0"/>
              <w:bottom w:val="single" w:color="BFBFBF" w:sz="4"/>
              <w:right w:val="none" w:color="FFFFFF" w:sz="0"/>
            </w:tcBorders>
            <w:tcMar>
              <w:top w:type="dxa" w:w="40"/>
              <w:left w:type="dxa" w:w="90"/>
              <w:bottom w:type="dxa" w:w="40"/>
              <w:right w:type="dxa" w:w="90"/>
            </w:tcMar>
            <w:vAlign w:val="center"/>
          </w:tcPr>
          <w:p>
            <w:pPr>
              <w:keepNext/>
              <w:spacing w:after="0"/>
              <w:jc w:val="center"/>
            </w:pPr>
            <w:r>
              <w:rPr>
                <w:b w:val="false"/>
                <w:bCs w:val="false"/>
                <w:sz w:val="18"/>
                <w:szCs w:val="18"/>
              </w:rPr>
              <w:t xml:space="preserve">10</w:t>
            </w:r>
          </w:p>
        </w:tc>
        <w:tc>
          <w:tcPr>
            <w:tcW w:type="dxa" w:w="1000"/>
            <w:tcBorders>
              <w:top w:val="single" w:color="BFBFBF" w:sz="4"/>
              <w:left w:val="none" w:color="FFFFFF" w:sz="0"/>
              <w:bottom w:val="single" w:color="BFBFBF" w:sz="4"/>
              <w:right w:val="none" w:color="FFFFFF" w:sz="0"/>
            </w:tcBorders>
            <w:tcMar>
              <w:top w:type="dxa" w:w="40"/>
              <w:left w:type="dxa" w:w="90"/>
              <w:bottom w:type="dxa" w:w="40"/>
              <w:right w:type="dxa" w:w="90"/>
            </w:tcMar>
            <w:vAlign w:val="center"/>
          </w:tcPr>
          <w:p>
            <w:pPr>
              <w:keepNext/>
              <w:spacing w:after="0"/>
              <w:jc w:val="center"/>
            </w:pPr>
            <w:r>
              <w:rPr>
                <w:b w:val="false"/>
                <w:bCs w:val="false"/>
                <w:sz w:val="18"/>
                <w:szCs w:val="18"/>
              </w:rPr>
              <w:t xml:space="preserve">7,78</w:t>
            </w:r>
          </w:p>
        </w:tc>
        <w:tc>
          <w:tcPr>
            <w:tcW w:type="dxa" w:w="889"/>
            <w:tcBorders>
              <w:top w:val="single" w:color="BFBFBF" w:sz="4"/>
              <w:left w:val="none" w:color="FFFFFF" w:sz="0"/>
              <w:bottom w:val="single" w:color="BFBFBF" w:sz="4"/>
              <w:right w:val="none" w:color="FFFFFF" w:sz="0"/>
            </w:tcBorders>
            <w:tcMar>
              <w:top w:type="dxa" w:w="40"/>
              <w:left w:type="dxa" w:w="90"/>
              <w:bottom w:type="dxa" w:w="40"/>
              <w:right w:type="dxa" w:w="90"/>
            </w:tcMar>
            <w:vAlign w:val="center"/>
          </w:tcPr>
          <w:p>
            <w:pPr>
              <w:keepNext/>
              <w:spacing w:after="0"/>
              <w:jc w:val="center"/>
            </w:pPr>
            <w:r>
              <w:rPr>
                <w:b w:val="false"/>
                <w:bCs w:val="false"/>
                <w:sz w:val="18"/>
                <w:szCs w:val="18"/>
              </w:rPr>
              <w:t xml:space="preserve">69,0</w:t>
            </w:r>
          </w:p>
        </w:tc>
        <w:tc>
          <w:tcPr>
            <w:tcW w:type="dxa" w:w="1756"/>
            <w:tcBorders>
              <w:top w:val="single" w:color="BFBFBF" w:sz="4"/>
              <w:left w:val="none" w:color="FFFFFF" w:sz="0"/>
              <w:bottom w:val="single" w:color="BFBFBF" w:sz="4"/>
              <w:right w:val="none" w:color="FFFFFF" w:sz="0"/>
            </w:tcBorders>
            <w:tcMar>
              <w:top w:type="dxa" w:w="40"/>
              <w:left w:type="dxa" w:w="90"/>
              <w:bottom w:type="dxa" w:w="40"/>
              <w:right w:type="dxa" w:w="90"/>
            </w:tcMar>
            <w:vAlign w:val="center"/>
          </w:tcPr>
          <w:p>
            <w:pPr>
              <w:keepNext/>
              <w:spacing w:after="0"/>
              <w:jc w:val="center"/>
            </w:pPr>
            <w:r>
              <w:rPr>
                <w:b w:val="false"/>
                <w:bCs w:val="false"/>
                <w:sz w:val="18"/>
                <w:szCs w:val="18"/>
              </w:rPr>
              <w:t xml:space="preserve">0 – 40</w:t>
            </w:r>
          </w:p>
        </w:tc>
        <w:tc>
          <w:tcPr>
            <w:tcW w:type="dxa" w:w="1112"/>
            <w:tcBorders>
              <w:top w:val="single" w:color="BFBFBF" w:sz="4"/>
              <w:left w:val="none" w:color="FFFFFF" w:sz="0"/>
              <w:bottom w:val="single" w:color="BFBFBF" w:sz="4"/>
              <w:right w:val="none" w:color="FFFFFF" w:sz="0"/>
            </w:tcBorders>
            <w:tcMar>
              <w:top w:type="dxa" w:w="40"/>
              <w:left w:type="dxa" w:w="90"/>
              <w:bottom w:type="dxa" w:w="40"/>
              <w:right w:type="dxa" w:w="90"/>
            </w:tcMar>
            <w:vAlign w:val="center"/>
          </w:tcPr>
          <w:p>
            <w:pPr>
              <w:keepNext/>
              <w:spacing w:after="0"/>
              <w:jc w:val="center"/>
            </w:pPr>
            <w:r>
              <w:rPr>
                <w:b w:val="false"/>
                <w:bCs w:val="false"/>
                <w:sz w:val="18"/>
                <w:szCs w:val="18"/>
              </w:rPr>
              <w:t xml:space="preserve">1,12</w:t>
            </w:r>
          </w:p>
        </w:tc>
      </w:tr>
      <w:tr>
        <w:trPr>
          <w:cantSplit/>
        </w:trPr>
        <w:tc>
          <w:tcPr>
            <w:tcW w:type="dxa" w:w="2523"/>
            <w:tcBorders>
              <w:top w:val="single" w:color="BFBFBF" w:sz="4"/>
              <w:left w:val="none" w:color="FFFFFF" w:sz="0"/>
              <w:bottom w:val="single" w:color="BFBFBF" w:sz="4"/>
              <w:right w:val="none" w:color="FFFFFF" w:sz="0"/>
            </w:tcBorders>
            <w:tcMar>
              <w:top w:type="dxa" w:w="40"/>
              <w:left w:type="dxa" w:w="90"/>
              <w:bottom w:type="dxa" w:w="40"/>
              <w:right w:type="dxa" w:w="90"/>
            </w:tcMar>
            <w:vAlign w:val="center"/>
          </w:tcPr>
          <w:p>
            <w:pPr>
              <w:keepNext/>
              <w:spacing w:after="0"/>
              <w:jc w:val="left"/>
            </w:pPr>
            <w:r>
              <w:rPr>
                <w:b w:val="false"/>
                <w:bCs w:val="false"/>
                <w:sz w:val="18"/>
                <w:szCs w:val="18"/>
              </w:rPr>
              <w:t xml:space="preserve">Distancia al hogar</w:t>
            </w:r>
          </w:p>
        </w:tc>
        <w:tc>
          <w:tcPr>
            <w:tcW w:type="dxa" w:w="711"/>
            <w:tcBorders>
              <w:top w:val="single" w:color="BFBFBF" w:sz="4"/>
              <w:left w:val="none" w:color="FFFFFF" w:sz="0"/>
              <w:bottom w:val="single" w:color="BFBFBF" w:sz="4"/>
              <w:right w:val="none" w:color="FFFFFF" w:sz="0"/>
            </w:tcBorders>
            <w:tcMar>
              <w:top w:type="dxa" w:w="40"/>
              <w:left w:type="dxa" w:w="90"/>
              <w:bottom w:type="dxa" w:w="40"/>
              <w:right w:type="dxa" w:w="90"/>
            </w:tcMar>
            <w:vAlign w:val="center"/>
          </w:tcPr>
          <w:p>
            <w:pPr>
              <w:keepNext/>
              <w:spacing w:after="0"/>
              <w:jc w:val="center"/>
            </w:pPr>
            <w:r>
              <w:rPr>
                <w:b w:val="false"/>
                <w:bCs w:val="false"/>
                <w:sz w:val="18"/>
                <w:szCs w:val="18"/>
              </w:rPr>
              <w:t xml:space="preserve">1.323</w:t>
            </w:r>
          </w:p>
        </w:tc>
        <w:tc>
          <w:tcPr>
            <w:tcW w:type="dxa" w:w="1089"/>
            <w:tcBorders>
              <w:top w:val="single" w:color="BFBFBF" w:sz="4"/>
              <w:left w:val="none" w:color="FFFFFF" w:sz="0"/>
              <w:bottom w:val="single" w:color="BFBFBF" w:sz="4"/>
              <w:right w:val="none" w:color="FFFFFF" w:sz="0"/>
            </w:tcBorders>
            <w:tcMar>
              <w:top w:type="dxa" w:w="40"/>
              <w:left w:type="dxa" w:w="90"/>
              <w:bottom w:type="dxa" w:w="40"/>
              <w:right w:type="dxa" w:w="90"/>
            </w:tcMar>
            <w:vAlign w:val="center"/>
          </w:tcPr>
          <w:p>
            <w:pPr>
              <w:keepNext/>
              <w:spacing w:after="0"/>
              <w:jc w:val="center"/>
            </w:pPr>
            <w:r>
              <w:rPr>
                <w:b w:val="false"/>
                <w:bCs w:val="false"/>
                <w:sz w:val="18"/>
                <w:szCs w:val="18"/>
              </w:rPr>
              <w:t xml:space="preserve">9,18</w:t>
            </w:r>
          </w:p>
        </w:tc>
        <w:tc>
          <w:tcPr>
            <w:tcW w:type="dxa" w:w="1000"/>
            <w:tcBorders>
              <w:top w:val="single" w:color="BFBFBF" w:sz="4"/>
              <w:left w:val="none" w:color="FFFFFF" w:sz="0"/>
              <w:bottom w:val="single" w:color="BFBFBF" w:sz="4"/>
              <w:right w:val="none" w:color="FFFFFF" w:sz="0"/>
            </w:tcBorders>
            <w:tcMar>
              <w:top w:type="dxa" w:w="40"/>
              <w:left w:type="dxa" w:w="90"/>
              <w:bottom w:type="dxa" w:w="40"/>
              <w:right w:type="dxa" w:w="90"/>
            </w:tcMar>
            <w:vAlign w:val="center"/>
          </w:tcPr>
          <w:p>
            <w:pPr>
              <w:keepNext/>
              <w:spacing w:after="0"/>
              <w:jc w:val="center"/>
            </w:pPr>
            <w:r>
              <w:rPr>
                <w:b w:val="false"/>
                <w:bCs w:val="false"/>
                <w:sz w:val="18"/>
                <w:szCs w:val="18"/>
              </w:rPr>
              <w:t xml:space="preserve">7</w:t>
            </w:r>
          </w:p>
        </w:tc>
        <w:tc>
          <w:tcPr>
            <w:tcW w:type="dxa" w:w="1000"/>
            <w:tcBorders>
              <w:top w:val="single" w:color="BFBFBF" w:sz="4"/>
              <w:left w:val="none" w:color="FFFFFF" w:sz="0"/>
              <w:bottom w:val="single" w:color="BFBFBF" w:sz="4"/>
              <w:right w:val="none" w:color="FFFFFF" w:sz="0"/>
            </w:tcBorders>
            <w:tcMar>
              <w:top w:type="dxa" w:w="40"/>
              <w:left w:type="dxa" w:w="90"/>
              <w:bottom w:type="dxa" w:w="40"/>
              <w:right w:type="dxa" w:w="90"/>
            </w:tcMar>
            <w:vAlign w:val="center"/>
          </w:tcPr>
          <w:p>
            <w:pPr>
              <w:keepNext/>
              <w:spacing w:after="0"/>
              <w:jc w:val="center"/>
            </w:pPr>
            <w:r>
              <w:rPr>
                <w:b w:val="false"/>
                <w:bCs w:val="false"/>
                <w:sz w:val="18"/>
                <w:szCs w:val="18"/>
              </w:rPr>
              <w:t xml:space="preserve">8,09</w:t>
            </w:r>
          </w:p>
        </w:tc>
        <w:tc>
          <w:tcPr>
            <w:tcW w:type="dxa" w:w="889"/>
            <w:tcBorders>
              <w:top w:val="single" w:color="BFBFBF" w:sz="4"/>
              <w:left w:val="none" w:color="FFFFFF" w:sz="0"/>
              <w:bottom w:val="single" w:color="BFBFBF" w:sz="4"/>
              <w:right w:val="none" w:color="FFFFFF" w:sz="0"/>
            </w:tcBorders>
            <w:tcMar>
              <w:top w:type="dxa" w:w="40"/>
              <w:left w:type="dxa" w:w="90"/>
              <w:bottom w:type="dxa" w:w="40"/>
              <w:right w:type="dxa" w:w="90"/>
            </w:tcMar>
            <w:vAlign w:val="center"/>
          </w:tcPr>
          <w:p>
            <w:pPr>
              <w:keepNext/>
              <w:spacing w:after="0"/>
              <w:jc w:val="center"/>
            </w:pPr>
            <w:r>
              <w:rPr>
                <w:b w:val="false"/>
                <w:bCs w:val="false"/>
                <w:sz w:val="18"/>
                <w:szCs w:val="18"/>
              </w:rPr>
              <w:t xml:space="preserve">88,1</w:t>
            </w:r>
          </w:p>
        </w:tc>
        <w:tc>
          <w:tcPr>
            <w:tcW w:type="dxa" w:w="1756"/>
            <w:tcBorders>
              <w:top w:val="single" w:color="BFBFBF" w:sz="4"/>
              <w:left w:val="none" w:color="FFFFFF" w:sz="0"/>
              <w:bottom w:val="single" w:color="BFBFBF" w:sz="4"/>
              <w:right w:val="none" w:color="FFFFFF" w:sz="0"/>
            </w:tcBorders>
            <w:tcMar>
              <w:top w:type="dxa" w:w="40"/>
              <w:left w:type="dxa" w:w="90"/>
              <w:bottom w:type="dxa" w:w="40"/>
              <w:right w:type="dxa" w:w="90"/>
            </w:tcMar>
            <w:vAlign w:val="center"/>
          </w:tcPr>
          <w:p>
            <w:pPr>
              <w:keepNext/>
              <w:spacing w:after="0"/>
              <w:jc w:val="center"/>
            </w:pPr>
            <w:r>
              <w:rPr>
                <w:b w:val="false"/>
                <w:bCs w:val="false"/>
                <w:sz w:val="18"/>
                <w:szCs w:val="18"/>
              </w:rPr>
              <w:t xml:space="preserve">1 – 29</w:t>
            </w:r>
          </w:p>
        </w:tc>
        <w:tc>
          <w:tcPr>
            <w:tcW w:type="dxa" w:w="1112"/>
            <w:tcBorders>
              <w:top w:val="single" w:color="BFBFBF" w:sz="4"/>
              <w:left w:val="none" w:color="FFFFFF" w:sz="0"/>
              <w:bottom w:val="single" w:color="BFBFBF" w:sz="4"/>
              <w:right w:val="none" w:color="FFFFFF" w:sz="0"/>
            </w:tcBorders>
            <w:tcMar>
              <w:top w:type="dxa" w:w="40"/>
              <w:left w:type="dxa" w:w="90"/>
              <w:bottom w:type="dxa" w:w="40"/>
              <w:right w:type="dxa" w:w="90"/>
            </w:tcMar>
            <w:vAlign w:val="center"/>
          </w:tcPr>
          <w:p>
            <w:pPr>
              <w:keepNext/>
              <w:spacing w:after="0"/>
              <w:jc w:val="center"/>
            </w:pPr>
            <w:r>
              <w:rPr>
                <w:b w:val="false"/>
                <w:bCs w:val="false"/>
                <w:sz w:val="18"/>
                <w:szCs w:val="18"/>
              </w:rPr>
              <w:t xml:space="preserve">0,95</w:t>
            </w:r>
          </w:p>
        </w:tc>
      </w:tr>
    </w:tbl>
    <w:p>
      <w:pPr>
        <w:keepNext w:val="false"/>
        <w:spacing w:after="120" w:before="60"/>
        <w:jc w:val="center"/>
      </w:pPr>
      <w:r>
        <w:rPr>
          <w:color w:val="404040"/>
          <w:sz w:val="19"/>
          <w:szCs w:val="19"/>
        </w:rPr>
        <w:t xml:space="preserve">Tabla 3. Medidas descriptivas de las variables cuantitativas. DE: desviación estándar muestral; CV: coeficiente de variación; n efectivo tras los faltantes MCAR.</w:t>
      </w:r>
    </w:p>
    <w:p>
      <w:pPr>
        <w:spacing w:after="120" w:before="0" w:line="264"/>
        <w:jc w:val="both"/>
      </w:pPr>
      <w:r>
        <w:rPr>
          <w:b/>
          <w:bCs/>
        </w:rPr>
        <w:t xml:space="preserve">Variables cualitativas.</w:t>
      </w:r>
      <w:r>
        <w:t xml:space="preserve"> El 83,88 % permaneció (1.233) y el 16,12 % salió (237): la clase objetivo está desbalanceada. El 28,3 % hace horas extra. En satisfacción laboral, los niveles 1 a 4 reúnen 19,7 %, 19,0 %, 30,1 % y 31,2 % de los registros, con mediana 3; por ser ordinal no se calcula media.</w:t>
      </w:r>
    </w:p>
    <w:p>
      <w:pPr>
        <w:keepNext/>
        <w:spacing w:after="120" w:before="0" w:line="264"/>
        <w:jc w:val="both"/>
      </w:pPr>
      <w:r>
        <w:rPr>
          <w:b/>
          <w:bCs/>
        </w:rPr>
        <w:t xml:space="preserve">Comparación según salida.</w:t>
      </w:r>
      <w:r>
        <w:t xml:space="preserve"> La pregunta es sobre asociación, así que la descripción clave separa a quienes salieron de quienes permanecieron (Tabla 4). Quienes salieron ganan menos (mediana 3.150,5 frente a 5.228), llevan menos tiempo en la empresa (3 frente a 6 años), son más jóvenes y tienen menos experiencia. En las categóricas, el porcentaje de salida casi se triplica con horas extra, baja a medida que sube la satisfacción y cae de 29,8 % en los dos primeros años a 8,1 % sobre los diez (Figura 2).</w:t>
      </w:r>
    </w:p>
    <w:tbl>
      <w:tblPr>
        <w:tblW w:type="dxa" w:w="10080"/>
        <w:jc w:val="center"/>
        <w:tblBorders>
          <w:top w:val="single" w:color="auto" w:sz="4"/>
          <w:left w:val="single" w:color="auto" w:sz="4"/>
          <w:bottom w:val="single" w:color="auto" w:sz="4"/>
          <w:right w:val="single" w:color="auto" w:sz="4"/>
          <w:insideH w:val="single" w:color="auto" w:sz="4"/>
          <w:insideV w:val="single" w:color="auto" w:sz="4"/>
        </w:tblBorders>
      </w:tblPr>
      <w:tblGrid>
        <w:gridCol w:w="3412"/>
        <w:gridCol w:w="3334"/>
        <w:gridCol w:w="3334"/>
      </w:tblGrid>
      <w:tr>
        <w:trPr>
          <w:tblHeader/>
        </w:trPr>
        <w:tc>
          <w:tcPr>
            <w:tcW w:type="dxa" w:w="3412"/>
            <w:tcBorders>
              <w:top w:val="single" w:color="BFBFBF" w:sz="4"/>
              <w:left w:val="none" w:color="FFFFFF" w:sz="0"/>
              <w:bottom w:val="single" w:color="BFBFBF" w:sz="4"/>
              <w:right w:val="none" w:color="FFFFFF" w:sz="0"/>
            </w:tcBorders>
            <w:shd w:fill="E9EEF4" w:color="auto" w:val="clear"/>
            <w:tcMar>
              <w:top w:type="dxa" w:w="40"/>
              <w:left w:type="dxa" w:w="90"/>
              <w:bottom w:type="dxa" w:w="40"/>
              <w:right w:type="dxa" w:w="90"/>
            </w:tcMar>
            <w:vAlign w:val="center"/>
          </w:tcPr>
          <w:p>
            <w:pPr>
              <w:keepNext/>
              <w:spacing w:after="0"/>
              <w:jc w:val="left"/>
            </w:pPr>
            <w:r>
              <w:rPr>
                <w:b/>
                <w:bCs/>
                <w:sz w:val="18"/>
                <w:szCs w:val="18"/>
              </w:rPr>
              <w:t xml:space="preserve">Variable</w:t>
            </w:r>
          </w:p>
        </w:tc>
        <w:tc>
          <w:tcPr>
            <w:tcW w:type="dxa" w:w="3334"/>
            <w:tcBorders>
              <w:top w:val="single" w:color="BFBFBF" w:sz="4"/>
              <w:left w:val="none" w:color="FFFFFF" w:sz="0"/>
              <w:bottom w:val="single" w:color="BFBFBF" w:sz="4"/>
              <w:right w:val="none" w:color="FFFFFF" w:sz="0"/>
            </w:tcBorders>
            <w:shd w:fill="E9EEF4" w:color="auto" w:val="clear"/>
            <w:tcMar>
              <w:top w:type="dxa" w:w="40"/>
              <w:left w:type="dxa" w:w="90"/>
              <w:bottom w:type="dxa" w:w="40"/>
              <w:right w:type="dxa" w:w="90"/>
            </w:tcMar>
            <w:vAlign w:val="center"/>
          </w:tcPr>
          <w:p>
            <w:pPr>
              <w:keepNext/>
              <w:spacing w:after="0"/>
              <w:jc w:val="center"/>
            </w:pPr>
            <w:r>
              <w:rPr>
                <w:b/>
                <w:bCs/>
                <w:sz w:val="18"/>
                <w:szCs w:val="18"/>
              </w:rPr>
              <w:t xml:space="preserve">Permaneció: media (mediana)</w:t>
            </w:r>
          </w:p>
        </w:tc>
        <w:tc>
          <w:tcPr>
            <w:tcW w:type="dxa" w:w="3334"/>
            <w:tcBorders>
              <w:top w:val="single" w:color="BFBFBF" w:sz="4"/>
              <w:left w:val="none" w:color="FFFFFF" w:sz="0"/>
              <w:bottom w:val="single" w:color="BFBFBF" w:sz="4"/>
              <w:right w:val="none" w:color="FFFFFF" w:sz="0"/>
            </w:tcBorders>
            <w:shd w:fill="E9EEF4" w:color="auto" w:val="clear"/>
            <w:tcMar>
              <w:top w:type="dxa" w:w="40"/>
              <w:left w:type="dxa" w:w="90"/>
              <w:bottom w:type="dxa" w:w="40"/>
              <w:right w:type="dxa" w:w="90"/>
            </w:tcMar>
            <w:vAlign w:val="center"/>
          </w:tcPr>
          <w:p>
            <w:pPr>
              <w:keepNext/>
              <w:spacing w:after="0"/>
              <w:jc w:val="center"/>
            </w:pPr>
            <w:r>
              <w:rPr>
                <w:b/>
                <w:bCs/>
                <w:sz w:val="18"/>
                <w:szCs w:val="18"/>
              </w:rPr>
              <w:t xml:space="preserve">Salió: media (mediana)</w:t>
            </w:r>
          </w:p>
        </w:tc>
      </w:tr>
      <w:tr>
        <w:trPr>
          <w:cantSplit/>
        </w:trPr>
        <w:tc>
          <w:tcPr>
            <w:tcW w:type="dxa" w:w="3412"/>
            <w:tcBorders>
              <w:top w:val="single" w:color="BFBFBF" w:sz="4"/>
              <w:left w:val="none" w:color="FFFFFF" w:sz="0"/>
              <w:bottom w:val="single" w:color="BFBFBF" w:sz="4"/>
              <w:right w:val="none" w:color="FFFFFF" w:sz="0"/>
            </w:tcBorders>
            <w:tcMar>
              <w:top w:type="dxa" w:w="40"/>
              <w:left w:type="dxa" w:w="90"/>
              <w:bottom w:type="dxa" w:w="40"/>
              <w:right w:type="dxa" w:w="90"/>
            </w:tcMar>
            <w:vAlign w:val="center"/>
          </w:tcPr>
          <w:p>
            <w:pPr>
              <w:keepNext/>
              <w:spacing w:after="0"/>
              <w:jc w:val="left"/>
            </w:pPr>
            <w:r>
              <w:rPr>
                <w:b w:val="false"/>
                <w:bCs w:val="false"/>
                <w:sz w:val="18"/>
                <w:szCs w:val="18"/>
              </w:rPr>
              <w:t xml:space="preserve">Ingreso mensual</w:t>
            </w:r>
          </w:p>
        </w:tc>
        <w:tc>
          <w:tcPr>
            <w:tcW w:type="dxa" w:w="3334"/>
            <w:tcBorders>
              <w:top w:val="single" w:color="BFBFBF" w:sz="4"/>
              <w:left w:val="none" w:color="FFFFFF" w:sz="0"/>
              <w:bottom w:val="single" w:color="BFBFBF" w:sz="4"/>
              <w:right w:val="none" w:color="FFFFFF" w:sz="0"/>
            </w:tcBorders>
            <w:tcMar>
              <w:top w:type="dxa" w:w="40"/>
              <w:left w:type="dxa" w:w="90"/>
              <w:bottom w:type="dxa" w:w="40"/>
              <w:right w:type="dxa" w:w="90"/>
            </w:tcMar>
            <w:vAlign w:val="center"/>
          </w:tcPr>
          <w:p>
            <w:pPr>
              <w:keepNext/>
              <w:spacing w:after="0"/>
              <w:jc w:val="center"/>
            </w:pPr>
            <w:r>
              <w:rPr>
                <w:b w:val="false"/>
                <w:bCs w:val="false"/>
                <w:sz w:val="18"/>
                <w:szCs w:val="18"/>
              </w:rPr>
              <w:t xml:space="preserve">6.878,23 (5.228)  n = 1.113</w:t>
            </w:r>
          </w:p>
        </w:tc>
        <w:tc>
          <w:tcPr>
            <w:tcW w:type="dxa" w:w="3334"/>
            <w:tcBorders>
              <w:top w:val="single" w:color="BFBFBF" w:sz="4"/>
              <w:left w:val="none" w:color="FFFFFF" w:sz="0"/>
              <w:bottom w:val="single" w:color="BFBFBF" w:sz="4"/>
              <w:right w:val="none" w:color="FFFFFF" w:sz="0"/>
            </w:tcBorders>
            <w:tcMar>
              <w:top w:type="dxa" w:w="40"/>
              <w:left w:type="dxa" w:w="90"/>
              <w:bottom w:type="dxa" w:w="40"/>
              <w:right w:type="dxa" w:w="90"/>
            </w:tcMar>
            <w:vAlign w:val="center"/>
          </w:tcPr>
          <w:p>
            <w:pPr>
              <w:keepNext/>
              <w:spacing w:after="0"/>
              <w:jc w:val="center"/>
            </w:pPr>
            <w:r>
              <w:rPr>
                <w:b w:val="false"/>
                <w:bCs w:val="false"/>
                <w:sz w:val="18"/>
                <w:szCs w:val="18"/>
              </w:rPr>
              <w:t xml:space="preserve">4.685,71 (3.150,5)  n = 210</w:t>
            </w:r>
          </w:p>
        </w:tc>
      </w:tr>
      <w:tr>
        <w:trPr>
          <w:cantSplit/>
        </w:trPr>
        <w:tc>
          <w:tcPr>
            <w:tcW w:type="dxa" w:w="3412"/>
            <w:tcBorders>
              <w:top w:val="single" w:color="BFBFBF" w:sz="4"/>
              <w:left w:val="none" w:color="FFFFFF" w:sz="0"/>
              <w:bottom w:val="single" w:color="BFBFBF" w:sz="4"/>
              <w:right w:val="none" w:color="FFFFFF" w:sz="0"/>
            </w:tcBorders>
            <w:tcMar>
              <w:top w:type="dxa" w:w="40"/>
              <w:left w:type="dxa" w:w="90"/>
              <w:bottom w:type="dxa" w:w="40"/>
              <w:right w:type="dxa" w:w="90"/>
            </w:tcMar>
            <w:vAlign w:val="center"/>
          </w:tcPr>
          <w:p>
            <w:pPr>
              <w:keepNext/>
              <w:spacing w:after="0"/>
              <w:jc w:val="left"/>
            </w:pPr>
            <w:r>
              <w:rPr>
                <w:b w:val="false"/>
                <w:bCs w:val="false"/>
                <w:sz w:val="18"/>
                <w:szCs w:val="18"/>
              </w:rPr>
              <w:t xml:space="preserve">Antigüedad (años)</w:t>
            </w:r>
          </w:p>
        </w:tc>
        <w:tc>
          <w:tcPr>
            <w:tcW w:type="dxa" w:w="3334"/>
            <w:tcBorders>
              <w:top w:val="single" w:color="BFBFBF" w:sz="4"/>
              <w:left w:val="none" w:color="FFFFFF" w:sz="0"/>
              <w:bottom w:val="single" w:color="BFBFBF" w:sz="4"/>
              <w:right w:val="none" w:color="FFFFFF" w:sz="0"/>
            </w:tcBorders>
            <w:tcMar>
              <w:top w:type="dxa" w:w="40"/>
              <w:left w:type="dxa" w:w="90"/>
              <w:bottom w:type="dxa" w:w="40"/>
              <w:right w:type="dxa" w:w="90"/>
            </w:tcMar>
            <w:vAlign w:val="center"/>
          </w:tcPr>
          <w:p>
            <w:pPr>
              <w:keepNext/>
              <w:spacing w:after="0"/>
              <w:jc w:val="center"/>
            </w:pPr>
            <w:r>
              <w:rPr>
                <w:b w:val="false"/>
                <w:bCs w:val="false"/>
                <w:sz w:val="18"/>
                <w:szCs w:val="18"/>
              </w:rPr>
              <w:t xml:space="preserve">7,37 (6)</w:t>
            </w:r>
          </w:p>
        </w:tc>
        <w:tc>
          <w:tcPr>
            <w:tcW w:type="dxa" w:w="3334"/>
            <w:tcBorders>
              <w:top w:val="single" w:color="BFBFBF" w:sz="4"/>
              <w:left w:val="none" w:color="FFFFFF" w:sz="0"/>
              <w:bottom w:val="single" w:color="BFBFBF" w:sz="4"/>
              <w:right w:val="none" w:color="FFFFFF" w:sz="0"/>
            </w:tcBorders>
            <w:tcMar>
              <w:top w:type="dxa" w:w="40"/>
              <w:left w:type="dxa" w:w="90"/>
              <w:bottom w:type="dxa" w:w="40"/>
              <w:right w:type="dxa" w:w="90"/>
            </w:tcMar>
            <w:vAlign w:val="center"/>
          </w:tcPr>
          <w:p>
            <w:pPr>
              <w:keepNext/>
              <w:spacing w:after="0"/>
              <w:jc w:val="center"/>
            </w:pPr>
            <w:r>
              <w:rPr>
                <w:b w:val="false"/>
                <w:bCs w:val="false"/>
                <w:sz w:val="18"/>
                <w:szCs w:val="18"/>
              </w:rPr>
              <w:t xml:space="preserve">5,13 (3)</w:t>
            </w:r>
          </w:p>
        </w:tc>
      </w:tr>
      <w:tr>
        <w:trPr>
          <w:cantSplit/>
        </w:trPr>
        <w:tc>
          <w:tcPr>
            <w:tcW w:type="dxa" w:w="3412"/>
            <w:tcBorders>
              <w:top w:val="single" w:color="BFBFBF" w:sz="4"/>
              <w:left w:val="none" w:color="FFFFFF" w:sz="0"/>
              <w:bottom w:val="single" w:color="BFBFBF" w:sz="4"/>
              <w:right w:val="none" w:color="FFFFFF" w:sz="0"/>
            </w:tcBorders>
            <w:tcMar>
              <w:top w:type="dxa" w:w="40"/>
              <w:left w:type="dxa" w:w="90"/>
              <w:bottom w:type="dxa" w:w="40"/>
              <w:right w:type="dxa" w:w="90"/>
            </w:tcMar>
            <w:vAlign w:val="center"/>
          </w:tcPr>
          <w:p>
            <w:pPr>
              <w:keepNext/>
              <w:spacing w:after="0"/>
              <w:jc w:val="left"/>
            </w:pPr>
            <w:r>
              <w:rPr>
                <w:b w:val="false"/>
                <w:bCs w:val="false"/>
                <w:sz w:val="18"/>
                <w:szCs w:val="18"/>
              </w:rPr>
              <w:t xml:space="preserve">Edad (años)</w:t>
            </w:r>
          </w:p>
        </w:tc>
        <w:tc>
          <w:tcPr>
            <w:tcW w:type="dxa" w:w="3334"/>
            <w:tcBorders>
              <w:top w:val="single" w:color="BFBFBF" w:sz="4"/>
              <w:left w:val="none" w:color="FFFFFF" w:sz="0"/>
              <w:bottom w:val="single" w:color="BFBFBF" w:sz="4"/>
              <w:right w:val="none" w:color="FFFFFF" w:sz="0"/>
            </w:tcBorders>
            <w:tcMar>
              <w:top w:type="dxa" w:w="40"/>
              <w:left w:type="dxa" w:w="90"/>
              <w:bottom w:type="dxa" w:w="40"/>
              <w:right w:type="dxa" w:w="90"/>
            </w:tcMar>
            <w:vAlign w:val="center"/>
          </w:tcPr>
          <w:p>
            <w:pPr>
              <w:keepNext/>
              <w:spacing w:after="0"/>
              <w:jc w:val="center"/>
            </w:pPr>
            <w:r>
              <w:rPr>
                <w:b w:val="false"/>
                <w:bCs w:val="false"/>
                <w:sz w:val="18"/>
                <w:szCs w:val="18"/>
              </w:rPr>
              <w:t xml:space="preserve">37,56 (36)</w:t>
            </w:r>
          </w:p>
        </w:tc>
        <w:tc>
          <w:tcPr>
            <w:tcW w:type="dxa" w:w="3334"/>
            <w:tcBorders>
              <w:top w:val="single" w:color="BFBFBF" w:sz="4"/>
              <w:left w:val="none" w:color="FFFFFF" w:sz="0"/>
              <w:bottom w:val="single" w:color="BFBFBF" w:sz="4"/>
              <w:right w:val="none" w:color="FFFFFF" w:sz="0"/>
            </w:tcBorders>
            <w:tcMar>
              <w:top w:type="dxa" w:w="40"/>
              <w:left w:type="dxa" w:w="90"/>
              <w:bottom w:type="dxa" w:w="40"/>
              <w:right w:type="dxa" w:w="90"/>
            </w:tcMar>
            <w:vAlign w:val="center"/>
          </w:tcPr>
          <w:p>
            <w:pPr>
              <w:keepNext/>
              <w:spacing w:after="0"/>
              <w:jc w:val="center"/>
            </w:pPr>
            <w:r>
              <w:rPr>
                <w:b w:val="false"/>
                <w:bCs w:val="false"/>
                <w:sz w:val="18"/>
                <w:szCs w:val="18"/>
              </w:rPr>
              <w:t xml:space="preserve">33,61 (32)</w:t>
            </w:r>
          </w:p>
        </w:tc>
      </w:tr>
      <w:tr>
        <w:trPr>
          <w:cantSplit/>
        </w:trPr>
        <w:tc>
          <w:tcPr>
            <w:tcW w:type="dxa" w:w="3412"/>
            <w:tcBorders>
              <w:top w:val="single" w:color="BFBFBF" w:sz="4"/>
              <w:left w:val="none" w:color="FFFFFF" w:sz="0"/>
              <w:bottom w:val="single" w:color="BFBFBF" w:sz="4"/>
              <w:right w:val="none" w:color="FFFFFF" w:sz="0"/>
            </w:tcBorders>
            <w:tcMar>
              <w:top w:type="dxa" w:w="40"/>
              <w:left w:type="dxa" w:w="90"/>
              <w:bottom w:type="dxa" w:w="40"/>
              <w:right w:type="dxa" w:w="90"/>
            </w:tcMar>
            <w:vAlign w:val="center"/>
          </w:tcPr>
          <w:p>
            <w:pPr>
              <w:keepNext/>
              <w:spacing w:after="0"/>
              <w:jc w:val="left"/>
            </w:pPr>
            <w:r>
              <w:rPr>
                <w:b w:val="false"/>
                <w:bCs w:val="false"/>
                <w:sz w:val="18"/>
                <w:szCs w:val="18"/>
              </w:rPr>
              <w:t xml:space="preserve">Experiencia total (años)</w:t>
            </w:r>
          </w:p>
        </w:tc>
        <w:tc>
          <w:tcPr>
            <w:tcW w:type="dxa" w:w="3334"/>
            <w:tcBorders>
              <w:top w:val="single" w:color="BFBFBF" w:sz="4"/>
              <w:left w:val="none" w:color="FFFFFF" w:sz="0"/>
              <w:bottom w:val="single" w:color="BFBFBF" w:sz="4"/>
              <w:right w:val="none" w:color="FFFFFF" w:sz="0"/>
            </w:tcBorders>
            <w:tcMar>
              <w:top w:type="dxa" w:w="40"/>
              <w:left w:type="dxa" w:w="90"/>
              <w:bottom w:type="dxa" w:w="40"/>
              <w:right w:type="dxa" w:w="90"/>
            </w:tcMar>
            <w:vAlign w:val="center"/>
          </w:tcPr>
          <w:p>
            <w:pPr>
              <w:keepNext/>
              <w:spacing w:after="0"/>
              <w:jc w:val="center"/>
            </w:pPr>
            <w:r>
              <w:rPr>
                <w:b w:val="false"/>
                <w:bCs w:val="false"/>
                <w:sz w:val="18"/>
                <w:szCs w:val="18"/>
              </w:rPr>
              <w:t xml:space="preserve">11,86 (10)</w:t>
            </w:r>
          </w:p>
        </w:tc>
        <w:tc>
          <w:tcPr>
            <w:tcW w:type="dxa" w:w="3334"/>
            <w:tcBorders>
              <w:top w:val="single" w:color="BFBFBF" w:sz="4"/>
              <w:left w:val="none" w:color="FFFFFF" w:sz="0"/>
              <w:bottom w:val="single" w:color="BFBFBF" w:sz="4"/>
              <w:right w:val="none" w:color="FFFFFF" w:sz="0"/>
            </w:tcBorders>
            <w:tcMar>
              <w:top w:type="dxa" w:w="40"/>
              <w:left w:type="dxa" w:w="90"/>
              <w:bottom w:type="dxa" w:w="40"/>
              <w:right w:type="dxa" w:w="90"/>
            </w:tcMar>
            <w:vAlign w:val="center"/>
          </w:tcPr>
          <w:p>
            <w:pPr>
              <w:keepNext/>
              <w:spacing w:after="0"/>
              <w:jc w:val="center"/>
            </w:pPr>
            <w:r>
              <w:rPr>
                <w:b w:val="false"/>
                <w:bCs w:val="false"/>
                <w:sz w:val="18"/>
                <w:szCs w:val="18"/>
              </w:rPr>
              <w:t xml:space="preserve">8,24 (7)</w:t>
            </w:r>
          </w:p>
        </w:tc>
      </w:tr>
      <w:tr>
        <w:trPr>
          <w:cantSplit/>
        </w:trPr>
        <w:tc>
          <w:tcPr>
            <w:tcW w:type="dxa" w:w="3412"/>
            <w:tcBorders>
              <w:top w:val="single" w:color="BFBFBF" w:sz="4"/>
              <w:left w:val="none" w:color="FFFFFF" w:sz="0"/>
              <w:bottom w:val="single" w:color="BFBFBF" w:sz="4"/>
              <w:right w:val="none" w:color="FFFFFF" w:sz="0"/>
            </w:tcBorders>
            <w:tcMar>
              <w:top w:type="dxa" w:w="40"/>
              <w:left w:type="dxa" w:w="90"/>
              <w:bottom w:type="dxa" w:w="40"/>
              <w:right w:type="dxa" w:w="90"/>
            </w:tcMar>
            <w:vAlign w:val="center"/>
          </w:tcPr>
          <w:p>
            <w:pPr>
              <w:keepNext/>
              <w:spacing w:after="0"/>
              <w:jc w:val="left"/>
            </w:pPr>
            <w:r>
              <w:rPr>
                <w:b w:val="false"/>
                <w:bCs w:val="false"/>
                <w:sz w:val="18"/>
                <w:szCs w:val="18"/>
              </w:rPr>
              <w:t xml:space="preserve">Distancia al hogar</w:t>
            </w:r>
          </w:p>
        </w:tc>
        <w:tc>
          <w:tcPr>
            <w:tcW w:type="dxa" w:w="3334"/>
            <w:tcBorders>
              <w:top w:val="single" w:color="BFBFBF" w:sz="4"/>
              <w:left w:val="none" w:color="FFFFFF" w:sz="0"/>
              <w:bottom w:val="single" w:color="BFBFBF" w:sz="4"/>
              <w:right w:val="none" w:color="FFFFFF" w:sz="0"/>
            </w:tcBorders>
            <w:tcMar>
              <w:top w:type="dxa" w:w="40"/>
              <w:left w:type="dxa" w:w="90"/>
              <w:bottom w:type="dxa" w:w="40"/>
              <w:right w:type="dxa" w:w="90"/>
            </w:tcMar>
            <w:vAlign w:val="center"/>
          </w:tcPr>
          <w:p>
            <w:pPr>
              <w:keepNext/>
              <w:spacing w:after="0"/>
              <w:jc w:val="center"/>
            </w:pPr>
            <w:r>
              <w:rPr>
                <w:b w:val="false"/>
                <w:bCs w:val="false"/>
                <w:sz w:val="18"/>
                <w:szCs w:val="18"/>
              </w:rPr>
              <w:t xml:space="preserve">8,90 (7)</w:t>
            </w:r>
          </w:p>
        </w:tc>
        <w:tc>
          <w:tcPr>
            <w:tcW w:type="dxa" w:w="3334"/>
            <w:tcBorders>
              <w:top w:val="single" w:color="BFBFBF" w:sz="4"/>
              <w:left w:val="none" w:color="FFFFFF" w:sz="0"/>
              <w:bottom w:val="single" w:color="BFBFBF" w:sz="4"/>
              <w:right w:val="none" w:color="FFFFFF" w:sz="0"/>
            </w:tcBorders>
            <w:tcMar>
              <w:top w:type="dxa" w:w="40"/>
              <w:left w:type="dxa" w:w="90"/>
              <w:bottom w:type="dxa" w:w="40"/>
              <w:right w:type="dxa" w:w="90"/>
            </w:tcMar>
            <w:vAlign w:val="center"/>
          </w:tcPr>
          <w:p>
            <w:pPr>
              <w:keepNext/>
              <w:spacing w:after="0"/>
              <w:jc w:val="center"/>
            </w:pPr>
            <w:r>
              <w:rPr>
                <w:b w:val="false"/>
                <w:bCs w:val="false"/>
                <w:sz w:val="18"/>
                <w:szCs w:val="18"/>
              </w:rPr>
              <w:t xml:space="preserve">10,64 (9)</w:t>
            </w:r>
          </w:p>
        </w:tc>
      </w:tr>
    </w:tbl>
    <w:p>
      <w:pPr>
        <w:keepNext w:val="false"/>
        <w:spacing w:after="120" w:before="60"/>
        <w:jc w:val="center"/>
      </w:pPr>
      <w:r>
        <w:rPr>
          <w:color w:val="404040"/>
          <w:sz w:val="19"/>
          <w:szCs w:val="19"/>
        </w:rPr>
        <w:t xml:space="preserve">Tabla 4. Variables cuantitativas según salida (n = 1.233 y 237, salvo donde se indica).</w:t>
      </w:r>
    </w:p>
    <w:p>
      <w:pPr>
        <w:keepNext/>
        <w:spacing w:after="0" w:before="60"/>
        <w:jc w:val="center"/>
      </w:pPr>
      <w:r>
        <w:drawing>
          <wp:inline distT="0" distB="0" distL="0" distR="0">
            <wp:extent cx="6286500" cy="1924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286500" cy="1924050"/>
                    </a:xfrm>
                    <a:prstGeom prst="rect">
                      <a:avLst/>
                    </a:prstGeom>
                  </pic:spPr>
                </pic:pic>
              </a:graphicData>
            </a:graphic>
          </wp:inline>
        </w:drawing>
      </w:r>
    </w:p>
    <w:p>
      <w:pPr>
        <w:keepNext w:val="false"/>
        <w:spacing w:after="120" w:before="60"/>
        <w:jc w:val="center"/>
      </w:pPr>
      <w:r>
        <w:rPr>
          <w:color w:val="404040"/>
          <w:sz w:val="19"/>
          <w:szCs w:val="19"/>
        </w:rPr>
        <w:t xml:space="preserve">Figura 1. (a) Distribución de la variable objetivo; (b) histograma del ingreso observado; (c) histograma de la antigüedad. Líneas: media (continua) y mediana (segmentada).</w:t>
      </w:r>
    </w:p>
    <w:p>
      <w:pPr>
        <w:keepNext/>
        <w:spacing w:after="0" w:before="60"/>
        <w:jc w:val="center"/>
      </w:pPr>
      <w:r>
        <w:drawing>
          <wp:inline distT="0" distB="0" distL="0" distR="0">
            <wp:extent cx="5334000" cy="3667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3667125"/>
                    </a:xfrm>
                    <a:prstGeom prst="rect">
                      <a:avLst/>
                    </a:prstGeom>
                  </pic:spPr>
                </pic:pic>
              </a:graphicData>
            </a:graphic>
          </wp:inline>
        </w:drawing>
      </w:r>
    </w:p>
    <w:p>
      <w:pPr>
        <w:keepNext w:val="false"/>
        <w:spacing w:after="120" w:before="60"/>
        <w:jc w:val="center"/>
      </w:pPr>
      <w:r>
        <w:rPr>
          <w:color w:val="404040"/>
          <w:sz w:val="19"/>
          <w:szCs w:val="19"/>
        </w:rPr>
        <w:t xml:space="preserve">Figura 2. (a, b) Ingreso y antigüedad según salida (cajas: mediana y rango intercuartílico; puntos: valores sobre 1,5 RIC). (c, d) Porcentaje de salida por horas extra y por satisfacción, con IC de Wilson del 95 %; línea gris: salida global.</w:t>
      </w:r>
    </w:p>
    <w:p>
      <w:pPr>
        <w:spacing w:after="120" w:before="0" w:line="264"/>
        <w:jc w:val="both"/>
      </w:pPr>
      <w:r>
        <w:t xml:space="preserve">Los gráficos siguen el tipo de cada variable: barras para la objetivo cualitativa, histogramas para las cuantitativas, cajas para comparar una cuantitativa entre dos grupos y barras con intervalo para el porcentaje de salida por categoría. Los puntos fuera de las cajas son extremos según la regla gráfica, no errores. Estas diferencias son descriptivas; la sección 4 evalúa si superan lo esperable por azar.</w:t>
      </w:r>
    </w:p>
    <w:p>
      <w:pPr>
        <w:pStyle w:val="Heading1"/>
        <w:keepNext/>
        <w:spacing w:after="100" w:before="200"/>
      </w:pPr>
      <w:r>
        <w:t xml:space="preserve">3. Estimación puntual e intervalos de confianza</w:t>
      </w:r>
    </w:p>
    <w:p>
      <w:pPr>
        <w:keepNext/>
        <w:spacing w:after="120" w:before="0" w:line="264"/>
        <w:jc w:val="both"/>
      </w:pPr>
      <w:r>
        <w:t xml:space="preserve">Estimamos cuatro parámetros con 95 % de confianza (Tabla 5). Para la </w:t>
      </w:r>
      <w:r>
        <w:rPr>
          <w:b/>
          <w:bCs/>
        </w:rPr>
        <w:t xml:space="preserve">proporción de salida</w:t>
      </w:r>
      <w:r>
        <w:t xml:space="preserve"> usamos el intervalo de Wilson. Con </w:t>
      </w:r>
      <w:r>
        <w:rPr>
          <w:i/>
          <w:iCs/>
        </w:rPr>
        <w:t xml:space="preserve">p̂</w:t>
      </w:r>
      <w:r>
        <w:t xml:space="preserve"> = 0,16 y </w:t>
      </w:r>
      <w:r>
        <w:rPr>
          <w:i/>
          <w:iCs/>
        </w:rPr>
        <w:t xml:space="preserve">n</w:t>
      </w:r>
      <w:r>
        <w:t xml:space="preserve"> = 1.470 el intervalo normal simple da casi lo mismo (14,24 % a 18,00 %), pero Wilson mantiene la cobertura con proporciones bajas o grupos pequeños y nunca sale de [0, 1], por eso lo usamos también por grupo. Para el </w:t>
      </w:r>
      <w:r>
        <w:rPr>
          <w:b/>
          <w:bCs/>
        </w:rPr>
        <w:t xml:space="preserve">ingreso medio</w:t>
      </w:r>
      <w:r>
        <w:t xml:space="preserve"> usamos </w:t>
      </w:r>
      <w:r>
        <w:rPr>
          <w:i/>
          <w:iCs/>
        </w:rPr>
        <w:t xml:space="preserve">t</w:t>
      </w:r>
      <w:r>
        <w:t xml:space="preserve"> de Student con 1.322 grados de libertad, porque la desviación poblacional es desconocida. El ingreso es asimétrico, pero con 1.323 observaciones el Teorema Central del Límite hace que la media muestral se distribuya aproximadamente normal, y bajo MCAR los valores observados no sesgan la estimación: solo la hacen algo menos precisa.</w:t>
      </w:r>
    </w:p>
    <w:tbl>
      <w:tblPr>
        <w:tblW w:type="dxa" w:w="10080"/>
        <w:jc w:val="center"/>
        <w:tblBorders>
          <w:top w:val="single" w:color="auto" w:sz="4"/>
          <w:left w:val="single" w:color="auto" w:sz="4"/>
          <w:bottom w:val="single" w:color="auto" w:sz="4"/>
          <w:right w:val="single" w:color="auto" w:sz="4"/>
          <w:insideH w:val="single" w:color="auto" w:sz="4"/>
          <w:insideV w:val="single" w:color="auto" w:sz="4"/>
        </w:tblBorders>
      </w:tblPr>
      <w:tblGrid>
        <w:gridCol w:w="3745"/>
        <w:gridCol w:w="1000"/>
        <w:gridCol w:w="1445"/>
        <w:gridCol w:w="2334"/>
        <w:gridCol w:w="1556"/>
      </w:tblGrid>
      <w:tr>
        <w:trPr>
          <w:tblHeader/>
        </w:trPr>
        <w:tc>
          <w:tcPr>
            <w:tcW w:type="dxa" w:w="3745"/>
            <w:tcBorders>
              <w:top w:val="single" w:color="BFBFBF" w:sz="4"/>
              <w:left w:val="none" w:color="FFFFFF" w:sz="0"/>
              <w:bottom w:val="single" w:color="BFBFBF" w:sz="4"/>
              <w:right w:val="none" w:color="FFFFFF" w:sz="0"/>
            </w:tcBorders>
            <w:shd w:fill="E9EEF4" w:color="auto" w:val="clear"/>
            <w:tcMar>
              <w:top w:type="dxa" w:w="40"/>
              <w:left w:type="dxa" w:w="90"/>
              <w:bottom w:type="dxa" w:w="40"/>
              <w:right w:type="dxa" w:w="90"/>
            </w:tcMar>
            <w:vAlign w:val="center"/>
          </w:tcPr>
          <w:p>
            <w:pPr>
              <w:keepNext/>
              <w:spacing w:after="0"/>
              <w:jc w:val="left"/>
            </w:pPr>
            <w:r>
              <w:rPr>
                <w:b/>
                <w:bCs/>
                <w:sz w:val="18"/>
                <w:szCs w:val="18"/>
              </w:rPr>
              <w:t xml:space="preserve">Parámetro</w:t>
            </w:r>
          </w:p>
        </w:tc>
        <w:tc>
          <w:tcPr>
            <w:tcW w:type="dxa" w:w="1000"/>
            <w:tcBorders>
              <w:top w:val="single" w:color="BFBFBF" w:sz="4"/>
              <w:left w:val="none" w:color="FFFFFF" w:sz="0"/>
              <w:bottom w:val="single" w:color="BFBFBF" w:sz="4"/>
              <w:right w:val="none" w:color="FFFFFF" w:sz="0"/>
            </w:tcBorders>
            <w:shd w:fill="E9EEF4" w:color="auto" w:val="clear"/>
            <w:tcMar>
              <w:top w:type="dxa" w:w="40"/>
              <w:left w:type="dxa" w:w="90"/>
              <w:bottom w:type="dxa" w:w="40"/>
              <w:right w:type="dxa" w:w="90"/>
            </w:tcMar>
            <w:vAlign w:val="center"/>
          </w:tcPr>
          <w:p>
            <w:pPr>
              <w:keepNext/>
              <w:spacing w:after="0"/>
              <w:jc w:val="center"/>
            </w:pPr>
            <w:r>
              <w:rPr>
                <w:b/>
                <w:bCs/>
                <w:sz w:val="18"/>
                <w:szCs w:val="18"/>
              </w:rPr>
              <w:t xml:space="preserve">n</w:t>
            </w:r>
          </w:p>
        </w:tc>
        <w:tc>
          <w:tcPr>
            <w:tcW w:type="dxa" w:w="1445"/>
            <w:tcBorders>
              <w:top w:val="single" w:color="BFBFBF" w:sz="4"/>
              <w:left w:val="none" w:color="FFFFFF" w:sz="0"/>
              <w:bottom w:val="single" w:color="BFBFBF" w:sz="4"/>
              <w:right w:val="none" w:color="FFFFFF" w:sz="0"/>
            </w:tcBorders>
            <w:shd w:fill="E9EEF4" w:color="auto" w:val="clear"/>
            <w:tcMar>
              <w:top w:type="dxa" w:w="40"/>
              <w:left w:type="dxa" w:w="90"/>
              <w:bottom w:type="dxa" w:w="40"/>
              <w:right w:type="dxa" w:w="90"/>
            </w:tcMar>
            <w:vAlign w:val="center"/>
          </w:tcPr>
          <w:p>
            <w:pPr>
              <w:keepNext/>
              <w:spacing w:after="0"/>
              <w:jc w:val="center"/>
            </w:pPr>
            <w:r>
              <w:rPr>
                <w:b/>
                <w:bCs/>
                <w:sz w:val="18"/>
                <w:szCs w:val="18"/>
              </w:rPr>
              <w:t xml:space="preserve">Estimación</w:t>
            </w:r>
          </w:p>
        </w:tc>
        <w:tc>
          <w:tcPr>
            <w:tcW w:type="dxa" w:w="2334"/>
            <w:tcBorders>
              <w:top w:val="single" w:color="BFBFBF" w:sz="4"/>
              <w:left w:val="none" w:color="FFFFFF" w:sz="0"/>
              <w:bottom w:val="single" w:color="BFBFBF" w:sz="4"/>
              <w:right w:val="none" w:color="FFFFFF" w:sz="0"/>
            </w:tcBorders>
            <w:shd w:fill="E9EEF4" w:color="auto" w:val="clear"/>
            <w:tcMar>
              <w:top w:type="dxa" w:w="40"/>
              <w:left w:type="dxa" w:w="90"/>
              <w:bottom w:type="dxa" w:w="40"/>
              <w:right w:type="dxa" w:w="90"/>
            </w:tcMar>
            <w:vAlign w:val="center"/>
          </w:tcPr>
          <w:p>
            <w:pPr>
              <w:keepNext/>
              <w:spacing w:after="0"/>
              <w:jc w:val="center"/>
            </w:pPr>
            <w:r>
              <w:rPr>
                <w:b/>
                <w:bCs/>
                <w:sz w:val="18"/>
                <w:szCs w:val="18"/>
              </w:rPr>
              <w:t xml:space="preserve">IC 95 %</w:t>
            </w:r>
          </w:p>
        </w:tc>
        <w:tc>
          <w:tcPr>
            <w:tcW w:type="dxa" w:w="1556"/>
            <w:tcBorders>
              <w:top w:val="single" w:color="BFBFBF" w:sz="4"/>
              <w:left w:val="none" w:color="FFFFFF" w:sz="0"/>
              <w:bottom w:val="single" w:color="BFBFBF" w:sz="4"/>
              <w:right w:val="none" w:color="FFFFFF" w:sz="0"/>
            </w:tcBorders>
            <w:shd w:fill="E9EEF4" w:color="auto" w:val="clear"/>
            <w:tcMar>
              <w:top w:type="dxa" w:w="40"/>
              <w:left w:type="dxa" w:w="90"/>
              <w:bottom w:type="dxa" w:w="40"/>
              <w:right w:type="dxa" w:w="90"/>
            </w:tcMar>
            <w:vAlign w:val="center"/>
          </w:tcPr>
          <w:p>
            <w:pPr>
              <w:keepNext/>
              <w:spacing w:after="0"/>
              <w:jc w:val="center"/>
            </w:pPr>
            <w:r>
              <w:rPr>
                <w:b/>
                <w:bCs/>
                <w:sz w:val="18"/>
                <w:szCs w:val="18"/>
              </w:rPr>
              <w:t xml:space="preserve">Método</w:t>
            </w:r>
          </w:p>
        </w:tc>
      </w:tr>
      <w:tr>
        <w:trPr>
          <w:cantSplit/>
        </w:trPr>
        <w:tc>
          <w:tcPr>
            <w:tcW w:type="dxa" w:w="3745"/>
            <w:tcBorders>
              <w:top w:val="single" w:color="BFBFBF" w:sz="4"/>
              <w:left w:val="none" w:color="FFFFFF" w:sz="0"/>
              <w:bottom w:val="single" w:color="BFBFBF" w:sz="4"/>
              <w:right w:val="none" w:color="FFFFFF" w:sz="0"/>
            </w:tcBorders>
            <w:tcMar>
              <w:top w:type="dxa" w:w="40"/>
              <w:left w:type="dxa" w:w="90"/>
              <w:bottom w:type="dxa" w:w="40"/>
              <w:right w:type="dxa" w:w="90"/>
            </w:tcMar>
            <w:vAlign w:val="center"/>
          </w:tcPr>
          <w:p>
            <w:pPr>
              <w:keepNext/>
              <w:spacing w:after="0"/>
              <w:jc w:val="left"/>
            </w:pPr>
            <w:r>
              <w:rPr>
                <w:b w:val="false"/>
                <w:bCs w:val="false"/>
                <w:sz w:val="18"/>
                <w:szCs w:val="18"/>
              </w:rPr>
              <w:t xml:space="preserve">Proporción de salida</w:t>
            </w:r>
          </w:p>
        </w:tc>
        <w:tc>
          <w:tcPr>
            <w:tcW w:type="dxa" w:w="1000"/>
            <w:tcBorders>
              <w:top w:val="single" w:color="BFBFBF" w:sz="4"/>
              <w:left w:val="none" w:color="FFFFFF" w:sz="0"/>
              <w:bottom w:val="single" w:color="BFBFBF" w:sz="4"/>
              <w:right w:val="none" w:color="FFFFFF" w:sz="0"/>
            </w:tcBorders>
            <w:tcMar>
              <w:top w:type="dxa" w:w="40"/>
              <w:left w:type="dxa" w:w="90"/>
              <w:bottom w:type="dxa" w:w="40"/>
              <w:right w:type="dxa" w:w="90"/>
            </w:tcMar>
            <w:vAlign w:val="center"/>
          </w:tcPr>
          <w:p>
            <w:pPr>
              <w:keepNext/>
              <w:spacing w:after="0"/>
              <w:jc w:val="center"/>
            </w:pPr>
            <w:r>
              <w:rPr>
                <w:b w:val="false"/>
                <w:bCs w:val="false"/>
                <w:sz w:val="18"/>
                <w:szCs w:val="18"/>
              </w:rPr>
              <w:t xml:space="preserve">1.470</w:t>
            </w:r>
          </w:p>
        </w:tc>
        <w:tc>
          <w:tcPr>
            <w:tcW w:type="dxa" w:w="1445"/>
            <w:tcBorders>
              <w:top w:val="single" w:color="BFBFBF" w:sz="4"/>
              <w:left w:val="none" w:color="FFFFFF" w:sz="0"/>
              <w:bottom w:val="single" w:color="BFBFBF" w:sz="4"/>
              <w:right w:val="none" w:color="FFFFFF" w:sz="0"/>
            </w:tcBorders>
            <w:tcMar>
              <w:top w:type="dxa" w:w="40"/>
              <w:left w:type="dxa" w:w="90"/>
              <w:bottom w:type="dxa" w:w="40"/>
              <w:right w:type="dxa" w:w="90"/>
            </w:tcMar>
            <w:vAlign w:val="center"/>
          </w:tcPr>
          <w:p>
            <w:pPr>
              <w:keepNext/>
              <w:spacing w:after="0"/>
              <w:jc w:val="center"/>
            </w:pPr>
            <w:r>
              <w:rPr>
                <w:b w:val="false"/>
                <w:bCs w:val="false"/>
                <w:sz w:val="18"/>
                <w:szCs w:val="18"/>
              </w:rPr>
              <w:t xml:space="preserve">16,12 %</w:t>
            </w:r>
          </w:p>
        </w:tc>
        <w:tc>
          <w:tcPr>
            <w:tcW w:type="dxa" w:w="2334"/>
            <w:tcBorders>
              <w:top w:val="single" w:color="BFBFBF" w:sz="4"/>
              <w:left w:val="none" w:color="FFFFFF" w:sz="0"/>
              <w:bottom w:val="single" w:color="BFBFBF" w:sz="4"/>
              <w:right w:val="none" w:color="FFFFFF" w:sz="0"/>
            </w:tcBorders>
            <w:tcMar>
              <w:top w:type="dxa" w:w="40"/>
              <w:left w:type="dxa" w:w="90"/>
              <w:bottom w:type="dxa" w:w="40"/>
              <w:right w:type="dxa" w:w="90"/>
            </w:tcMar>
            <w:vAlign w:val="center"/>
          </w:tcPr>
          <w:p>
            <w:pPr>
              <w:keepNext/>
              <w:spacing w:after="0"/>
              <w:jc w:val="center"/>
            </w:pPr>
            <w:r>
              <w:rPr>
                <w:b w:val="false"/>
                <w:bCs w:val="false"/>
                <w:sz w:val="18"/>
                <w:szCs w:val="18"/>
              </w:rPr>
              <w:t xml:space="preserve">14,33 % – 18,09 %</w:t>
            </w:r>
          </w:p>
        </w:tc>
        <w:tc>
          <w:tcPr>
            <w:tcW w:type="dxa" w:w="1556"/>
            <w:tcBorders>
              <w:top w:val="single" w:color="BFBFBF" w:sz="4"/>
              <w:left w:val="none" w:color="FFFFFF" w:sz="0"/>
              <w:bottom w:val="single" w:color="BFBFBF" w:sz="4"/>
              <w:right w:val="none" w:color="FFFFFF" w:sz="0"/>
            </w:tcBorders>
            <w:tcMar>
              <w:top w:type="dxa" w:w="40"/>
              <w:left w:type="dxa" w:w="90"/>
              <w:bottom w:type="dxa" w:w="40"/>
              <w:right w:type="dxa" w:w="90"/>
            </w:tcMar>
            <w:vAlign w:val="center"/>
          </w:tcPr>
          <w:p>
            <w:pPr>
              <w:keepNext/>
              <w:spacing w:after="0"/>
              <w:jc w:val="center"/>
            </w:pPr>
            <w:r>
              <w:rPr>
                <w:b w:val="false"/>
                <w:bCs w:val="false"/>
                <w:sz w:val="18"/>
                <w:szCs w:val="18"/>
              </w:rPr>
              <w:t xml:space="preserve">Wilson</w:t>
            </w:r>
          </w:p>
        </w:tc>
      </w:tr>
      <w:tr>
        <w:trPr>
          <w:cantSplit/>
        </w:trPr>
        <w:tc>
          <w:tcPr>
            <w:tcW w:type="dxa" w:w="3745"/>
            <w:tcBorders>
              <w:top w:val="single" w:color="BFBFBF" w:sz="4"/>
              <w:left w:val="none" w:color="FFFFFF" w:sz="0"/>
              <w:bottom w:val="single" w:color="BFBFBF" w:sz="4"/>
              <w:right w:val="none" w:color="FFFFFF" w:sz="0"/>
            </w:tcBorders>
            <w:tcMar>
              <w:top w:type="dxa" w:w="40"/>
              <w:left w:type="dxa" w:w="90"/>
              <w:bottom w:type="dxa" w:w="40"/>
              <w:right w:type="dxa" w:w="90"/>
            </w:tcMar>
            <w:vAlign w:val="center"/>
          </w:tcPr>
          <w:p>
            <w:pPr>
              <w:keepNext/>
              <w:spacing w:after="0"/>
              <w:jc w:val="left"/>
            </w:pPr>
            <w:r>
              <w:rPr>
                <w:b w:val="false"/>
                <w:bCs w:val="false"/>
                <w:sz w:val="18"/>
                <w:szCs w:val="18"/>
              </w:rPr>
              <w:t xml:space="preserve">Ingreso mensual medio</w:t>
            </w:r>
          </w:p>
        </w:tc>
        <w:tc>
          <w:tcPr>
            <w:tcW w:type="dxa" w:w="1000"/>
            <w:tcBorders>
              <w:top w:val="single" w:color="BFBFBF" w:sz="4"/>
              <w:left w:val="none" w:color="FFFFFF" w:sz="0"/>
              <w:bottom w:val="single" w:color="BFBFBF" w:sz="4"/>
              <w:right w:val="none" w:color="FFFFFF" w:sz="0"/>
            </w:tcBorders>
            <w:tcMar>
              <w:top w:type="dxa" w:w="40"/>
              <w:left w:type="dxa" w:w="90"/>
              <w:bottom w:type="dxa" w:w="40"/>
              <w:right w:type="dxa" w:w="90"/>
            </w:tcMar>
            <w:vAlign w:val="center"/>
          </w:tcPr>
          <w:p>
            <w:pPr>
              <w:keepNext/>
              <w:spacing w:after="0"/>
              <w:jc w:val="center"/>
            </w:pPr>
            <w:r>
              <w:rPr>
                <w:b w:val="false"/>
                <w:bCs w:val="false"/>
                <w:sz w:val="18"/>
                <w:szCs w:val="18"/>
              </w:rPr>
              <w:t xml:space="preserve">1.323</w:t>
            </w:r>
          </w:p>
        </w:tc>
        <w:tc>
          <w:tcPr>
            <w:tcW w:type="dxa" w:w="1445"/>
            <w:tcBorders>
              <w:top w:val="single" w:color="BFBFBF" w:sz="4"/>
              <w:left w:val="none" w:color="FFFFFF" w:sz="0"/>
              <w:bottom w:val="single" w:color="BFBFBF" w:sz="4"/>
              <w:right w:val="none" w:color="FFFFFF" w:sz="0"/>
            </w:tcBorders>
            <w:tcMar>
              <w:top w:type="dxa" w:w="40"/>
              <w:left w:type="dxa" w:w="90"/>
              <w:bottom w:type="dxa" w:w="40"/>
              <w:right w:type="dxa" w:w="90"/>
            </w:tcMar>
            <w:vAlign w:val="center"/>
          </w:tcPr>
          <w:p>
            <w:pPr>
              <w:keepNext/>
              <w:spacing w:after="0"/>
              <w:jc w:val="center"/>
            </w:pPr>
            <w:r>
              <w:rPr>
                <w:b w:val="false"/>
                <w:bCs w:val="false"/>
                <w:sz w:val="18"/>
                <w:szCs w:val="18"/>
              </w:rPr>
              <w:t xml:space="preserve">6.530,21</w:t>
            </w:r>
          </w:p>
        </w:tc>
        <w:tc>
          <w:tcPr>
            <w:tcW w:type="dxa" w:w="2334"/>
            <w:tcBorders>
              <w:top w:val="single" w:color="BFBFBF" w:sz="4"/>
              <w:left w:val="none" w:color="FFFFFF" w:sz="0"/>
              <w:bottom w:val="single" w:color="BFBFBF" w:sz="4"/>
              <w:right w:val="none" w:color="FFFFFF" w:sz="0"/>
            </w:tcBorders>
            <w:tcMar>
              <w:top w:type="dxa" w:w="40"/>
              <w:left w:type="dxa" w:w="90"/>
              <w:bottom w:type="dxa" w:w="40"/>
              <w:right w:type="dxa" w:w="90"/>
            </w:tcMar>
            <w:vAlign w:val="center"/>
          </w:tcPr>
          <w:p>
            <w:pPr>
              <w:keepNext/>
              <w:spacing w:after="0"/>
              <w:jc w:val="center"/>
            </w:pPr>
            <w:r>
              <w:rPr>
                <w:b w:val="false"/>
                <w:bCs w:val="false"/>
                <w:sz w:val="18"/>
                <w:szCs w:val="18"/>
              </w:rPr>
              <w:t xml:space="preserve">6.276,27 – 6.784,15</w:t>
            </w:r>
          </w:p>
        </w:tc>
        <w:tc>
          <w:tcPr>
            <w:tcW w:type="dxa" w:w="1556"/>
            <w:tcBorders>
              <w:top w:val="single" w:color="BFBFBF" w:sz="4"/>
              <w:left w:val="none" w:color="FFFFFF" w:sz="0"/>
              <w:bottom w:val="single" w:color="BFBFBF" w:sz="4"/>
              <w:right w:val="none" w:color="FFFFFF" w:sz="0"/>
            </w:tcBorders>
            <w:tcMar>
              <w:top w:type="dxa" w:w="40"/>
              <w:left w:type="dxa" w:w="90"/>
              <w:bottom w:type="dxa" w:w="40"/>
              <w:right w:type="dxa" w:w="90"/>
            </w:tcMar>
            <w:vAlign w:val="center"/>
          </w:tcPr>
          <w:p>
            <w:pPr>
              <w:keepNext/>
              <w:spacing w:after="0"/>
              <w:jc w:val="center"/>
            </w:pPr>
            <w:r>
              <w:rPr>
                <w:b w:val="false"/>
                <w:bCs w:val="false"/>
                <w:sz w:val="18"/>
                <w:szCs w:val="18"/>
              </w:rPr>
              <w:t xml:space="preserve">t de Student</w:t>
            </w:r>
          </w:p>
        </w:tc>
      </w:tr>
      <w:tr>
        <w:trPr>
          <w:cantSplit/>
        </w:trPr>
        <w:tc>
          <w:tcPr>
            <w:tcW w:type="dxa" w:w="3745"/>
            <w:tcBorders>
              <w:top w:val="single" w:color="BFBFBF" w:sz="4"/>
              <w:left w:val="none" w:color="FFFFFF" w:sz="0"/>
              <w:bottom w:val="single" w:color="BFBFBF" w:sz="4"/>
              <w:right w:val="none" w:color="FFFFFF" w:sz="0"/>
            </w:tcBorders>
            <w:tcMar>
              <w:top w:type="dxa" w:w="40"/>
              <w:left w:type="dxa" w:w="90"/>
              <w:bottom w:type="dxa" w:w="40"/>
              <w:right w:type="dxa" w:w="90"/>
            </w:tcMar>
            <w:vAlign w:val="center"/>
          </w:tcPr>
          <w:p>
            <w:pPr>
              <w:keepNext/>
              <w:spacing w:after="0"/>
              <w:jc w:val="left"/>
            </w:pPr>
            <w:r>
              <w:rPr>
                <w:b w:val="false"/>
                <w:bCs w:val="false"/>
                <w:sz w:val="18"/>
                <w:szCs w:val="18"/>
              </w:rPr>
              <w:t xml:space="preserve">Salida con horas extra</w:t>
            </w:r>
          </w:p>
        </w:tc>
        <w:tc>
          <w:tcPr>
            <w:tcW w:type="dxa" w:w="1000"/>
            <w:tcBorders>
              <w:top w:val="single" w:color="BFBFBF" w:sz="4"/>
              <w:left w:val="none" w:color="FFFFFF" w:sz="0"/>
              <w:bottom w:val="single" w:color="BFBFBF" w:sz="4"/>
              <w:right w:val="none" w:color="FFFFFF" w:sz="0"/>
            </w:tcBorders>
            <w:tcMar>
              <w:top w:type="dxa" w:w="40"/>
              <w:left w:type="dxa" w:w="90"/>
              <w:bottom w:type="dxa" w:w="40"/>
              <w:right w:type="dxa" w:w="90"/>
            </w:tcMar>
            <w:vAlign w:val="center"/>
          </w:tcPr>
          <w:p>
            <w:pPr>
              <w:keepNext/>
              <w:spacing w:after="0"/>
              <w:jc w:val="center"/>
            </w:pPr>
            <w:r>
              <w:rPr>
                <w:b w:val="false"/>
                <w:bCs w:val="false"/>
                <w:sz w:val="18"/>
                <w:szCs w:val="18"/>
              </w:rPr>
              <w:t xml:space="preserve">416</w:t>
            </w:r>
          </w:p>
        </w:tc>
        <w:tc>
          <w:tcPr>
            <w:tcW w:type="dxa" w:w="1445"/>
            <w:tcBorders>
              <w:top w:val="single" w:color="BFBFBF" w:sz="4"/>
              <w:left w:val="none" w:color="FFFFFF" w:sz="0"/>
              <w:bottom w:val="single" w:color="BFBFBF" w:sz="4"/>
              <w:right w:val="none" w:color="FFFFFF" w:sz="0"/>
            </w:tcBorders>
            <w:tcMar>
              <w:top w:type="dxa" w:w="40"/>
              <w:left w:type="dxa" w:w="90"/>
              <w:bottom w:type="dxa" w:w="40"/>
              <w:right w:type="dxa" w:w="90"/>
            </w:tcMar>
            <w:vAlign w:val="center"/>
          </w:tcPr>
          <w:p>
            <w:pPr>
              <w:keepNext/>
              <w:spacing w:after="0"/>
              <w:jc w:val="center"/>
            </w:pPr>
            <w:r>
              <w:rPr>
                <w:b w:val="false"/>
                <w:bCs w:val="false"/>
                <w:sz w:val="18"/>
                <w:szCs w:val="18"/>
              </w:rPr>
              <w:t xml:space="preserve">30,53 %</w:t>
            </w:r>
          </w:p>
        </w:tc>
        <w:tc>
          <w:tcPr>
            <w:tcW w:type="dxa" w:w="2334"/>
            <w:tcBorders>
              <w:top w:val="single" w:color="BFBFBF" w:sz="4"/>
              <w:left w:val="none" w:color="FFFFFF" w:sz="0"/>
              <w:bottom w:val="single" w:color="BFBFBF" w:sz="4"/>
              <w:right w:val="none" w:color="FFFFFF" w:sz="0"/>
            </w:tcBorders>
            <w:tcMar>
              <w:top w:type="dxa" w:w="40"/>
              <w:left w:type="dxa" w:w="90"/>
              <w:bottom w:type="dxa" w:w="40"/>
              <w:right w:type="dxa" w:w="90"/>
            </w:tcMar>
            <w:vAlign w:val="center"/>
          </w:tcPr>
          <w:p>
            <w:pPr>
              <w:keepNext/>
              <w:spacing w:after="0"/>
              <w:jc w:val="center"/>
            </w:pPr>
            <w:r>
              <w:rPr>
                <w:b w:val="false"/>
                <w:bCs w:val="false"/>
                <w:sz w:val="18"/>
                <w:szCs w:val="18"/>
              </w:rPr>
              <w:t xml:space="preserve">26,30 % – 35,12 %</w:t>
            </w:r>
          </w:p>
        </w:tc>
        <w:tc>
          <w:tcPr>
            <w:tcW w:type="dxa" w:w="1556"/>
            <w:tcBorders>
              <w:top w:val="single" w:color="BFBFBF" w:sz="4"/>
              <w:left w:val="none" w:color="FFFFFF" w:sz="0"/>
              <w:bottom w:val="single" w:color="BFBFBF" w:sz="4"/>
              <w:right w:val="none" w:color="FFFFFF" w:sz="0"/>
            </w:tcBorders>
            <w:tcMar>
              <w:top w:type="dxa" w:w="40"/>
              <w:left w:type="dxa" w:w="90"/>
              <w:bottom w:type="dxa" w:w="40"/>
              <w:right w:type="dxa" w:w="90"/>
            </w:tcMar>
            <w:vAlign w:val="center"/>
          </w:tcPr>
          <w:p>
            <w:pPr>
              <w:keepNext/>
              <w:spacing w:after="0"/>
              <w:jc w:val="center"/>
            </w:pPr>
            <w:r>
              <w:rPr>
                <w:b w:val="false"/>
                <w:bCs w:val="false"/>
                <w:sz w:val="18"/>
                <w:szCs w:val="18"/>
              </w:rPr>
              <w:t xml:space="preserve">Wilson</w:t>
            </w:r>
          </w:p>
        </w:tc>
      </w:tr>
      <w:tr>
        <w:trPr>
          <w:cantSplit/>
        </w:trPr>
        <w:tc>
          <w:tcPr>
            <w:tcW w:type="dxa" w:w="3745"/>
            <w:tcBorders>
              <w:top w:val="single" w:color="BFBFBF" w:sz="4"/>
              <w:left w:val="none" w:color="FFFFFF" w:sz="0"/>
              <w:bottom w:val="single" w:color="BFBFBF" w:sz="4"/>
              <w:right w:val="none" w:color="FFFFFF" w:sz="0"/>
            </w:tcBorders>
            <w:tcMar>
              <w:top w:type="dxa" w:w="40"/>
              <w:left w:type="dxa" w:w="90"/>
              <w:bottom w:type="dxa" w:w="40"/>
              <w:right w:type="dxa" w:w="90"/>
            </w:tcMar>
            <w:vAlign w:val="center"/>
          </w:tcPr>
          <w:p>
            <w:pPr>
              <w:keepNext/>
              <w:spacing w:after="0"/>
              <w:jc w:val="left"/>
            </w:pPr>
            <w:r>
              <w:rPr>
                <w:b w:val="false"/>
                <w:bCs w:val="false"/>
                <w:sz w:val="18"/>
                <w:szCs w:val="18"/>
              </w:rPr>
              <w:t xml:space="preserve">Salida sin horas extra</w:t>
            </w:r>
          </w:p>
        </w:tc>
        <w:tc>
          <w:tcPr>
            <w:tcW w:type="dxa" w:w="1000"/>
            <w:tcBorders>
              <w:top w:val="single" w:color="BFBFBF" w:sz="4"/>
              <w:left w:val="none" w:color="FFFFFF" w:sz="0"/>
              <w:bottom w:val="single" w:color="BFBFBF" w:sz="4"/>
              <w:right w:val="none" w:color="FFFFFF" w:sz="0"/>
            </w:tcBorders>
            <w:tcMar>
              <w:top w:type="dxa" w:w="40"/>
              <w:left w:type="dxa" w:w="90"/>
              <w:bottom w:type="dxa" w:w="40"/>
              <w:right w:type="dxa" w:w="90"/>
            </w:tcMar>
            <w:vAlign w:val="center"/>
          </w:tcPr>
          <w:p>
            <w:pPr>
              <w:keepNext/>
              <w:spacing w:after="0"/>
              <w:jc w:val="center"/>
            </w:pPr>
            <w:r>
              <w:rPr>
                <w:b w:val="false"/>
                <w:bCs w:val="false"/>
                <w:sz w:val="18"/>
                <w:szCs w:val="18"/>
              </w:rPr>
              <w:t xml:space="preserve">1.054</w:t>
            </w:r>
          </w:p>
        </w:tc>
        <w:tc>
          <w:tcPr>
            <w:tcW w:type="dxa" w:w="1445"/>
            <w:tcBorders>
              <w:top w:val="single" w:color="BFBFBF" w:sz="4"/>
              <w:left w:val="none" w:color="FFFFFF" w:sz="0"/>
              <w:bottom w:val="single" w:color="BFBFBF" w:sz="4"/>
              <w:right w:val="none" w:color="FFFFFF" w:sz="0"/>
            </w:tcBorders>
            <w:tcMar>
              <w:top w:type="dxa" w:w="40"/>
              <w:left w:type="dxa" w:w="90"/>
              <w:bottom w:type="dxa" w:w="40"/>
              <w:right w:type="dxa" w:w="90"/>
            </w:tcMar>
            <w:vAlign w:val="center"/>
          </w:tcPr>
          <w:p>
            <w:pPr>
              <w:keepNext/>
              <w:spacing w:after="0"/>
              <w:jc w:val="center"/>
            </w:pPr>
            <w:r>
              <w:rPr>
                <w:b w:val="false"/>
                <w:bCs w:val="false"/>
                <w:sz w:val="18"/>
                <w:szCs w:val="18"/>
              </w:rPr>
              <w:t xml:space="preserve">10,44 %</w:t>
            </w:r>
          </w:p>
        </w:tc>
        <w:tc>
          <w:tcPr>
            <w:tcW w:type="dxa" w:w="2334"/>
            <w:tcBorders>
              <w:top w:val="single" w:color="BFBFBF" w:sz="4"/>
              <w:left w:val="none" w:color="FFFFFF" w:sz="0"/>
              <w:bottom w:val="single" w:color="BFBFBF" w:sz="4"/>
              <w:right w:val="none" w:color="FFFFFF" w:sz="0"/>
            </w:tcBorders>
            <w:tcMar>
              <w:top w:type="dxa" w:w="40"/>
              <w:left w:type="dxa" w:w="90"/>
              <w:bottom w:type="dxa" w:w="40"/>
              <w:right w:type="dxa" w:w="90"/>
            </w:tcMar>
            <w:vAlign w:val="center"/>
          </w:tcPr>
          <w:p>
            <w:pPr>
              <w:keepNext/>
              <w:spacing w:after="0"/>
              <w:jc w:val="center"/>
            </w:pPr>
            <w:r>
              <w:rPr>
                <w:b w:val="false"/>
                <w:bCs w:val="false"/>
                <w:sz w:val="18"/>
                <w:szCs w:val="18"/>
              </w:rPr>
              <w:t xml:space="preserve">8,73 % – 12,43 %</w:t>
            </w:r>
          </w:p>
        </w:tc>
        <w:tc>
          <w:tcPr>
            <w:tcW w:type="dxa" w:w="1556"/>
            <w:tcBorders>
              <w:top w:val="single" w:color="BFBFBF" w:sz="4"/>
              <w:left w:val="none" w:color="FFFFFF" w:sz="0"/>
              <w:bottom w:val="single" w:color="BFBFBF" w:sz="4"/>
              <w:right w:val="none" w:color="FFFFFF" w:sz="0"/>
            </w:tcBorders>
            <w:tcMar>
              <w:top w:type="dxa" w:w="40"/>
              <w:left w:type="dxa" w:w="90"/>
              <w:bottom w:type="dxa" w:w="40"/>
              <w:right w:type="dxa" w:w="90"/>
            </w:tcMar>
            <w:vAlign w:val="center"/>
          </w:tcPr>
          <w:p>
            <w:pPr>
              <w:keepNext/>
              <w:spacing w:after="0"/>
              <w:jc w:val="center"/>
            </w:pPr>
            <w:r>
              <w:rPr>
                <w:b w:val="false"/>
                <w:bCs w:val="false"/>
                <w:sz w:val="18"/>
                <w:szCs w:val="18"/>
              </w:rPr>
              <w:t xml:space="preserve">Wilson</w:t>
            </w:r>
          </w:p>
        </w:tc>
      </w:tr>
    </w:tbl>
    <w:p>
      <w:pPr>
        <w:keepNext w:val="false"/>
        <w:spacing w:after="120" w:before="60"/>
        <w:jc w:val="center"/>
      </w:pPr>
      <w:r>
        <w:rPr>
          <w:color w:val="404040"/>
          <w:sz w:val="19"/>
          <w:szCs w:val="19"/>
        </w:rPr>
        <w:t xml:space="preserve">Tabla 5. Estimación puntual e intervalos de confianza del 95 %.</w:t>
      </w:r>
    </w:p>
    <w:p>
      <w:pPr>
        <w:spacing w:after="120" w:before="0" w:line="264"/>
        <w:jc w:val="both"/>
      </w:pPr>
      <w:r>
        <w:rPr>
          <w:b/>
          <w:bCs/>
        </w:rPr>
        <w:t xml:space="preserve">Interpretación.</w:t>
      </w:r>
      <w:r>
        <w:t xml:space="preserve"> Si el conjunto se tratara como una muestra aleatoria de una población de empleados, el procedimiento usado produce intervalos que contienen el parámetro verdadero en el 95 % de las muestras posibles. Leído así, entre 14 y 18 de cada 100 empleados salen; para planificar reemplazos, ese rango es más útil que el 16 % puntual. El intervalo del ingreso se refiere a la media, que está tirada hacia arriba por los sueldos altos; el ingreso típico está más cerca de la mediana (4.960). Los intervalos de los dos grupos de horas extra no se traslapan: incluso en el escenario menos favorable, la salida con horas extra (26,3 %) más que duplica la del otro grupo en su extremo superior (12,4 %).</w:t>
      </w:r>
    </w:p>
    <w:p>
      <w:pPr>
        <w:pStyle w:val="Heading1"/>
        <w:keepNext/>
        <w:spacing w:after="100" w:before="200"/>
      </w:pPr>
      <w:r>
        <w:t xml:space="preserve">4. Aplicación de pruebas de hipótesis</w:t>
      </w:r>
    </w:p>
    <w:p>
      <w:pPr>
        <w:keepNext/>
        <w:spacing w:after="120" w:before="0" w:line="264"/>
        <w:jc w:val="both"/>
      </w:pPr>
      <w:r>
        <w:t xml:space="preserve">Aplicamos una prueba por cada variable de la pregunta, elegida según su tipo, con α = 0,05. En todos los casos H</w:t>
      </w:r>
      <w:r>
        <w:rPr>
          <w:vertAlign w:val="subscript"/>
        </w:rPr>
        <w:t xml:space="preserve">0</w:t>
      </w:r>
      <w:r>
        <w:t xml:space="preserve"> plantea que no hay asociación con la salida (independencia, o igualdad de medias entre quienes salieron y quienes permanecieron) y H</w:t>
      </w:r>
      <w:r>
        <w:rPr>
          <w:vertAlign w:val="subscript"/>
        </w:rPr>
        <w:t xml:space="preserve">1</w:t>
      </w:r>
      <w:r>
        <w:t xml:space="preserve"> que sí la hay. Para las categóricas usamos </w:t>
      </w:r>
      <w:r>
        <w:rPr>
          <w:b/>
          <w:bCs/>
        </w:rPr>
        <w:t xml:space="preserve">χ² de independencia</w:t>
      </w:r>
      <w:r>
        <w:t xml:space="preserve"> sin corrección de continuidad; todas las frecuencias esperadas superan 5 (mínimo 67,1 en horas extra y 45,1 en satisfacción). Para ingreso y antigüedad usamos </w:t>
      </w:r>
      <w:r>
        <w:rPr>
          <w:b/>
          <w:bCs/>
        </w:rPr>
        <w:t xml:space="preserve">t de Welch</w:t>
      </w:r>
      <w:r>
        <w:t xml:space="preserve">, que no supone varianzas iguales, adecuado porque los grupos tienen tamaños muy distintos (237 frente a 1.233). Como ambas variables son asimétricas, verificamos con </w:t>
      </w:r>
      <w:r>
        <w:rPr>
          <w:b/>
          <w:bCs/>
        </w:rPr>
        <w:t xml:space="preserve">Mann-Whitney</w:t>
      </w:r>
      <w:r>
        <w:t xml:space="preserve">, que no depende de la normalidad, y llega a la misma conclusión (</w:t>
      </w:r>
      <w:r>
        <w:rPr>
          <w:i/>
          <w:iCs/>
        </w:rPr>
        <w:t xml:space="preserve">p</w:t>
      </w:r>
      <w:r>
        <w:t xml:space="preserve"> &lt; 0,001 en ambas). Se supone independencia entre registros.</w:t>
      </w:r>
    </w:p>
    <w:tbl>
      <w:tblPr>
        <w:tblW w:type="dxa" w:w="10080"/>
        <w:jc w:val="center"/>
        <w:tblBorders>
          <w:top w:val="single" w:color="auto" w:sz="4"/>
          <w:left w:val="single" w:color="auto" w:sz="4"/>
          <w:bottom w:val="single" w:color="auto" w:sz="4"/>
          <w:right w:val="single" w:color="auto" w:sz="4"/>
          <w:insideH w:val="single" w:color="auto" w:sz="4"/>
          <w:insideV w:val="single" w:color="auto" w:sz="4"/>
        </w:tblBorders>
      </w:tblPr>
      <w:tblGrid>
        <w:gridCol w:w="2634"/>
        <w:gridCol w:w="2278"/>
        <w:gridCol w:w="1667"/>
        <w:gridCol w:w="1389"/>
        <w:gridCol w:w="2112"/>
      </w:tblGrid>
      <w:tr>
        <w:trPr>
          <w:tblHeader/>
        </w:trPr>
        <w:tc>
          <w:tcPr>
            <w:tcW w:type="dxa" w:w="2634"/>
            <w:tcBorders>
              <w:top w:val="single" w:color="BFBFBF" w:sz="4"/>
              <w:left w:val="none" w:color="FFFFFF" w:sz="0"/>
              <w:bottom w:val="single" w:color="BFBFBF" w:sz="4"/>
              <w:right w:val="none" w:color="FFFFFF" w:sz="0"/>
            </w:tcBorders>
            <w:shd w:fill="E9EEF4" w:color="auto" w:val="clear"/>
            <w:tcMar>
              <w:top w:type="dxa" w:w="40"/>
              <w:left w:type="dxa" w:w="90"/>
              <w:bottom w:type="dxa" w:w="40"/>
              <w:right w:type="dxa" w:w="90"/>
            </w:tcMar>
            <w:vAlign w:val="center"/>
          </w:tcPr>
          <w:p>
            <w:pPr>
              <w:keepNext/>
              <w:spacing w:after="0"/>
              <w:jc w:val="left"/>
            </w:pPr>
            <w:r>
              <w:rPr>
                <w:b/>
                <w:bCs/>
                <w:sz w:val="18"/>
                <w:szCs w:val="18"/>
              </w:rPr>
              <w:t xml:space="preserve">Variable</w:t>
            </w:r>
          </w:p>
        </w:tc>
        <w:tc>
          <w:tcPr>
            <w:tcW w:type="dxa" w:w="2278"/>
            <w:tcBorders>
              <w:top w:val="single" w:color="BFBFBF" w:sz="4"/>
              <w:left w:val="none" w:color="FFFFFF" w:sz="0"/>
              <w:bottom w:val="single" w:color="BFBFBF" w:sz="4"/>
              <w:right w:val="none" w:color="FFFFFF" w:sz="0"/>
            </w:tcBorders>
            <w:shd w:fill="E9EEF4" w:color="auto" w:val="clear"/>
            <w:tcMar>
              <w:top w:type="dxa" w:w="40"/>
              <w:left w:type="dxa" w:w="90"/>
              <w:bottom w:type="dxa" w:w="40"/>
              <w:right w:type="dxa" w:w="90"/>
            </w:tcMar>
            <w:vAlign w:val="center"/>
          </w:tcPr>
          <w:p>
            <w:pPr>
              <w:keepNext/>
              <w:spacing w:after="0"/>
              <w:jc w:val="center"/>
            </w:pPr>
            <w:r>
              <w:rPr>
                <w:b/>
                <w:bCs/>
                <w:sz w:val="18"/>
                <w:szCs w:val="18"/>
              </w:rPr>
              <w:t xml:space="preserve">Prueba</w:t>
            </w:r>
          </w:p>
        </w:tc>
        <w:tc>
          <w:tcPr>
            <w:tcW w:type="dxa" w:w="1667"/>
            <w:tcBorders>
              <w:top w:val="single" w:color="BFBFBF" w:sz="4"/>
              <w:left w:val="none" w:color="FFFFFF" w:sz="0"/>
              <w:bottom w:val="single" w:color="BFBFBF" w:sz="4"/>
              <w:right w:val="none" w:color="FFFFFF" w:sz="0"/>
            </w:tcBorders>
            <w:shd w:fill="E9EEF4" w:color="auto" w:val="clear"/>
            <w:tcMar>
              <w:top w:type="dxa" w:w="40"/>
              <w:left w:type="dxa" w:w="90"/>
              <w:bottom w:type="dxa" w:w="40"/>
              <w:right w:type="dxa" w:w="90"/>
            </w:tcMar>
            <w:vAlign w:val="center"/>
          </w:tcPr>
          <w:p>
            <w:pPr>
              <w:keepNext/>
              <w:spacing w:after="0"/>
              <w:jc w:val="center"/>
            </w:pPr>
            <w:r>
              <w:rPr>
                <w:b/>
                <w:bCs/>
                <w:sz w:val="18"/>
                <w:szCs w:val="18"/>
              </w:rPr>
              <w:t xml:space="preserve">Estadístico</w:t>
            </w:r>
          </w:p>
        </w:tc>
        <w:tc>
          <w:tcPr>
            <w:tcW w:type="dxa" w:w="1389"/>
            <w:tcBorders>
              <w:top w:val="single" w:color="BFBFBF" w:sz="4"/>
              <w:left w:val="none" w:color="FFFFFF" w:sz="0"/>
              <w:bottom w:val="single" w:color="BFBFBF" w:sz="4"/>
              <w:right w:val="none" w:color="FFFFFF" w:sz="0"/>
            </w:tcBorders>
            <w:shd w:fill="E9EEF4" w:color="auto" w:val="clear"/>
            <w:tcMar>
              <w:top w:type="dxa" w:w="40"/>
              <w:left w:type="dxa" w:w="90"/>
              <w:bottom w:type="dxa" w:w="40"/>
              <w:right w:type="dxa" w:w="90"/>
            </w:tcMar>
            <w:vAlign w:val="center"/>
          </w:tcPr>
          <w:p>
            <w:pPr>
              <w:keepNext/>
              <w:spacing w:after="0"/>
              <w:jc w:val="center"/>
            </w:pPr>
            <w:r>
              <w:rPr>
                <w:b/>
                <w:bCs/>
                <w:sz w:val="18"/>
                <w:szCs w:val="18"/>
              </w:rPr>
              <w:t xml:space="preserve">Valor p</w:t>
            </w:r>
          </w:p>
        </w:tc>
        <w:tc>
          <w:tcPr>
            <w:tcW w:type="dxa" w:w="2112"/>
            <w:tcBorders>
              <w:top w:val="single" w:color="BFBFBF" w:sz="4"/>
              <w:left w:val="none" w:color="FFFFFF" w:sz="0"/>
              <w:bottom w:val="single" w:color="BFBFBF" w:sz="4"/>
              <w:right w:val="none" w:color="FFFFFF" w:sz="0"/>
            </w:tcBorders>
            <w:shd w:fill="E9EEF4" w:color="auto" w:val="clear"/>
            <w:tcMar>
              <w:top w:type="dxa" w:w="40"/>
              <w:left w:type="dxa" w:w="90"/>
              <w:bottom w:type="dxa" w:w="40"/>
              <w:right w:type="dxa" w:w="90"/>
            </w:tcMar>
            <w:vAlign w:val="center"/>
          </w:tcPr>
          <w:p>
            <w:pPr>
              <w:keepNext/>
              <w:spacing w:after="0"/>
              <w:jc w:val="center"/>
            </w:pPr>
            <w:r>
              <w:rPr>
                <w:b/>
                <w:bCs/>
                <w:sz w:val="18"/>
                <w:szCs w:val="18"/>
              </w:rPr>
              <w:t xml:space="preserve">Tamaño del efecto</w:t>
            </w:r>
          </w:p>
        </w:tc>
      </w:tr>
      <w:tr>
        <w:trPr>
          <w:cantSplit/>
        </w:trPr>
        <w:tc>
          <w:tcPr>
            <w:tcW w:type="dxa" w:w="2634"/>
            <w:tcBorders>
              <w:top w:val="single" w:color="BFBFBF" w:sz="4"/>
              <w:left w:val="none" w:color="FFFFFF" w:sz="0"/>
              <w:bottom w:val="single" w:color="BFBFBF" w:sz="4"/>
              <w:right w:val="none" w:color="FFFFFF" w:sz="0"/>
            </w:tcBorders>
            <w:tcMar>
              <w:top w:type="dxa" w:w="40"/>
              <w:left w:type="dxa" w:w="90"/>
              <w:bottom w:type="dxa" w:w="40"/>
              <w:right w:type="dxa" w:w="90"/>
            </w:tcMar>
            <w:vAlign w:val="center"/>
          </w:tcPr>
          <w:p>
            <w:pPr>
              <w:keepNext/>
              <w:spacing w:after="0"/>
              <w:jc w:val="left"/>
            </w:pPr>
            <w:r>
              <w:rPr>
                <w:b w:val="false"/>
                <w:bCs w:val="false"/>
                <w:sz w:val="18"/>
                <w:szCs w:val="18"/>
              </w:rPr>
              <w:t xml:space="preserve">Horas extra</w:t>
            </w:r>
          </w:p>
        </w:tc>
        <w:tc>
          <w:tcPr>
            <w:tcW w:type="dxa" w:w="2278"/>
            <w:tcBorders>
              <w:top w:val="single" w:color="BFBFBF" w:sz="4"/>
              <w:left w:val="none" w:color="FFFFFF" w:sz="0"/>
              <w:bottom w:val="single" w:color="BFBFBF" w:sz="4"/>
              <w:right w:val="none" w:color="FFFFFF" w:sz="0"/>
            </w:tcBorders>
            <w:tcMar>
              <w:top w:type="dxa" w:w="40"/>
              <w:left w:type="dxa" w:w="90"/>
              <w:bottom w:type="dxa" w:w="40"/>
              <w:right w:type="dxa" w:w="90"/>
            </w:tcMar>
            <w:vAlign w:val="center"/>
          </w:tcPr>
          <w:p>
            <w:pPr>
              <w:keepNext/>
              <w:spacing w:after="0"/>
              <w:jc w:val="center"/>
            </w:pPr>
            <w:r>
              <w:rPr>
                <w:b w:val="false"/>
                <w:bCs w:val="false"/>
                <w:sz w:val="18"/>
                <w:szCs w:val="18"/>
              </w:rPr>
              <w:t xml:space="preserve">χ² (gl = 1)</w:t>
            </w:r>
          </w:p>
        </w:tc>
        <w:tc>
          <w:tcPr>
            <w:tcW w:type="dxa" w:w="1667"/>
            <w:tcBorders>
              <w:top w:val="single" w:color="BFBFBF" w:sz="4"/>
              <w:left w:val="none" w:color="FFFFFF" w:sz="0"/>
              <w:bottom w:val="single" w:color="BFBFBF" w:sz="4"/>
              <w:right w:val="none" w:color="FFFFFF" w:sz="0"/>
            </w:tcBorders>
            <w:tcMar>
              <w:top w:type="dxa" w:w="40"/>
              <w:left w:type="dxa" w:w="90"/>
              <w:bottom w:type="dxa" w:w="40"/>
              <w:right w:type="dxa" w:w="90"/>
            </w:tcMar>
            <w:vAlign w:val="center"/>
          </w:tcPr>
          <w:p>
            <w:pPr>
              <w:keepNext/>
              <w:spacing w:after="0"/>
              <w:jc w:val="center"/>
            </w:pPr>
            <w:r>
              <w:rPr>
                <w:b w:val="false"/>
                <w:bCs w:val="false"/>
                <w:sz w:val="18"/>
                <w:szCs w:val="18"/>
              </w:rPr>
              <w:t xml:space="preserve">89,04</w:t>
            </w:r>
          </w:p>
        </w:tc>
        <w:tc>
          <w:tcPr>
            <w:tcW w:type="dxa" w:w="1389"/>
            <w:tcBorders>
              <w:top w:val="single" w:color="BFBFBF" w:sz="4"/>
              <w:left w:val="none" w:color="FFFFFF" w:sz="0"/>
              <w:bottom w:val="single" w:color="BFBFBF" w:sz="4"/>
              <w:right w:val="none" w:color="FFFFFF" w:sz="0"/>
            </w:tcBorders>
            <w:tcMar>
              <w:top w:type="dxa" w:w="40"/>
              <w:left w:type="dxa" w:w="90"/>
              <w:bottom w:type="dxa" w:w="40"/>
              <w:right w:type="dxa" w:w="90"/>
            </w:tcMar>
            <w:vAlign w:val="center"/>
          </w:tcPr>
          <w:p>
            <w:pPr>
              <w:keepNext/>
              <w:spacing w:after="0"/>
              <w:jc w:val="center"/>
            </w:pPr>
            <w:r>
              <w:rPr>
                <w:b w:val="false"/>
                <w:bCs w:val="false"/>
                <w:sz w:val="18"/>
                <w:szCs w:val="18"/>
              </w:rPr>
              <w:t xml:space="preserve">&lt; 0,001</w:t>
            </w:r>
          </w:p>
        </w:tc>
        <w:tc>
          <w:tcPr>
            <w:tcW w:type="dxa" w:w="2112"/>
            <w:tcBorders>
              <w:top w:val="single" w:color="BFBFBF" w:sz="4"/>
              <w:left w:val="none" w:color="FFFFFF" w:sz="0"/>
              <w:bottom w:val="single" w:color="BFBFBF" w:sz="4"/>
              <w:right w:val="none" w:color="FFFFFF" w:sz="0"/>
            </w:tcBorders>
            <w:tcMar>
              <w:top w:type="dxa" w:w="40"/>
              <w:left w:type="dxa" w:w="90"/>
              <w:bottom w:type="dxa" w:w="40"/>
              <w:right w:type="dxa" w:w="90"/>
            </w:tcMar>
            <w:vAlign w:val="center"/>
          </w:tcPr>
          <w:p>
            <w:pPr>
              <w:keepNext/>
              <w:spacing w:after="0"/>
              <w:jc w:val="center"/>
            </w:pPr>
            <w:r>
              <w:rPr>
                <w:b w:val="false"/>
                <w:bCs w:val="false"/>
                <w:sz w:val="18"/>
                <w:szCs w:val="18"/>
              </w:rPr>
              <w:t xml:space="preserve">V = 0,25</w:t>
            </w:r>
          </w:p>
        </w:tc>
      </w:tr>
      <w:tr>
        <w:trPr>
          <w:cantSplit/>
        </w:trPr>
        <w:tc>
          <w:tcPr>
            <w:tcW w:type="dxa" w:w="2634"/>
            <w:tcBorders>
              <w:top w:val="single" w:color="BFBFBF" w:sz="4"/>
              <w:left w:val="none" w:color="FFFFFF" w:sz="0"/>
              <w:bottom w:val="single" w:color="BFBFBF" w:sz="4"/>
              <w:right w:val="none" w:color="FFFFFF" w:sz="0"/>
            </w:tcBorders>
            <w:tcMar>
              <w:top w:type="dxa" w:w="40"/>
              <w:left w:type="dxa" w:w="90"/>
              <w:bottom w:type="dxa" w:w="40"/>
              <w:right w:type="dxa" w:w="90"/>
            </w:tcMar>
            <w:vAlign w:val="center"/>
          </w:tcPr>
          <w:p>
            <w:pPr>
              <w:keepNext/>
              <w:spacing w:after="0"/>
              <w:jc w:val="left"/>
            </w:pPr>
            <w:r>
              <w:rPr>
                <w:b w:val="false"/>
                <w:bCs w:val="false"/>
                <w:sz w:val="18"/>
                <w:szCs w:val="18"/>
              </w:rPr>
              <w:t xml:space="preserve">Ingreso mensual</w:t>
            </w:r>
          </w:p>
        </w:tc>
        <w:tc>
          <w:tcPr>
            <w:tcW w:type="dxa" w:w="2278"/>
            <w:tcBorders>
              <w:top w:val="single" w:color="BFBFBF" w:sz="4"/>
              <w:left w:val="none" w:color="FFFFFF" w:sz="0"/>
              <w:bottom w:val="single" w:color="BFBFBF" w:sz="4"/>
              <w:right w:val="none" w:color="FFFFFF" w:sz="0"/>
            </w:tcBorders>
            <w:tcMar>
              <w:top w:type="dxa" w:w="40"/>
              <w:left w:type="dxa" w:w="90"/>
              <w:bottom w:type="dxa" w:w="40"/>
              <w:right w:type="dxa" w:w="90"/>
            </w:tcMar>
            <w:vAlign w:val="center"/>
          </w:tcPr>
          <w:p>
            <w:pPr>
              <w:keepNext/>
              <w:spacing w:after="0"/>
              <w:jc w:val="center"/>
            </w:pPr>
            <w:r>
              <w:rPr>
                <w:b w:val="false"/>
                <w:bCs w:val="false"/>
                <w:sz w:val="18"/>
                <w:szCs w:val="18"/>
              </w:rPr>
              <w:t xml:space="preserve">t de Welch (gl ≈ 369)</w:t>
            </w:r>
          </w:p>
        </w:tc>
        <w:tc>
          <w:tcPr>
            <w:tcW w:type="dxa" w:w="1667"/>
            <w:tcBorders>
              <w:top w:val="single" w:color="BFBFBF" w:sz="4"/>
              <w:left w:val="none" w:color="FFFFFF" w:sz="0"/>
              <w:bottom w:val="single" w:color="BFBFBF" w:sz="4"/>
              <w:right w:val="none" w:color="FFFFFF" w:sz="0"/>
            </w:tcBorders>
            <w:tcMar>
              <w:top w:type="dxa" w:w="40"/>
              <w:left w:type="dxa" w:w="90"/>
              <w:bottom w:type="dxa" w:w="40"/>
              <w:right w:type="dxa" w:w="90"/>
            </w:tcMar>
            <w:vAlign w:val="center"/>
          </w:tcPr>
          <w:p>
            <w:pPr>
              <w:keepNext/>
              <w:spacing w:after="0"/>
              <w:jc w:val="center"/>
            </w:pPr>
            <w:r>
              <w:rPr>
                <w:b w:val="false"/>
                <w:bCs w:val="false"/>
                <w:sz w:val="18"/>
                <w:szCs w:val="18"/>
              </w:rPr>
              <w:t xml:space="preserve">−7,68</w:t>
            </w:r>
          </w:p>
        </w:tc>
        <w:tc>
          <w:tcPr>
            <w:tcW w:type="dxa" w:w="1389"/>
            <w:tcBorders>
              <w:top w:val="single" w:color="BFBFBF" w:sz="4"/>
              <w:left w:val="none" w:color="FFFFFF" w:sz="0"/>
              <w:bottom w:val="single" w:color="BFBFBF" w:sz="4"/>
              <w:right w:val="none" w:color="FFFFFF" w:sz="0"/>
            </w:tcBorders>
            <w:tcMar>
              <w:top w:type="dxa" w:w="40"/>
              <w:left w:type="dxa" w:w="90"/>
              <w:bottom w:type="dxa" w:w="40"/>
              <w:right w:type="dxa" w:w="90"/>
            </w:tcMar>
            <w:vAlign w:val="center"/>
          </w:tcPr>
          <w:p>
            <w:pPr>
              <w:keepNext/>
              <w:spacing w:after="0"/>
              <w:jc w:val="center"/>
            </w:pPr>
            <w:r>
              <w:rPr>
                <w:b w:val="false"/>
                <w:bCs w:val="false"/>
                <w:sz w:val="18"/>
                <w:szCs w:val="18"/>
              </w:rPr>
              <w:t xml:space="preserve">&lt; 0,001</w:t>
            </w:r>
          </w:p>
        </w:tc>
        <w:tc>
          <w:tcPr>
            <w:tcW w:type="dxa" w:w="2112"/>
            <w:tcBorders>
              <w:top w:val="single" w:color="BFBFBF" w:sz="4"/>
              <w:left w:val="none" w:color="FFFFFF" w:sz="0"/>
              <w:bottom w:val="single" w:color="BFBFBF" w:sz="4"/>
              <w:right w:val="none" w:color="FFFFFF" w:sz="0"/>
            </w:tcBorders>
            <w:tcMar>
              <w:top w:type="dxa" w:w="40"/>
              <w:left w:type="dxa" w:w="90"/>
              <w:bottom w:type="dxa" w:w="40"/>
              <w:right w:type="dxa" w:w="90"/>
            </w:tcMar>
            <w:vAlign w:val="center"/>
          </w:tcPr>
          <w:p>
            <w:pPr>
              <w:keepNext/>
              <w:spacing w:after="0"/>
              <w:jc w:val="center"/>
            </w:pPr>
            <w:r>
              <w:rPr>
                <w:b w:val="false"/>
                <w:bCs w:val="false"/>
                <w:sz w:val="18"/>
                <w:szCs w:val="18"/>
              </w:rPr>
              <w:t xml:space="preserve">d = −0,47</w:t>
            </w:r>
          </w:p>
        </w:tc>
      </w:tr>
      <w:tr>
        <w:trPr>
          <w:cantSplit/>
        </w:trPr>
        <w:tc>
          <w:tcPr>
            <w:tcW w:type="dxa" w:w="2634"/>
            <w:tcBorders>
              <w:top w:val="single" w:color="BFBFBF" w:sz="4"/>
              <w:left w:val="none" w:color="FFFFFF" w:sz="0"/>
              <w:bottom w:val="single" w:color="BFBFBF" w:sz="4"/>
              <w:right w:val="none" w:color="FFFFFF" w:sz="0"/>
            </w:tcBorders>
            <w:tcMar>
              <w:top w:type="dxa" w:w="40"/>
              <w:left w:type="dxa" w:w="90"/>
              <w:bottom w:type="dxa" w:w="40"/>
              <w:right w:type="dxa" w:w="90"/>
            </w:tcMar>
            <w:vAlign w:val="center"/>
          </w:tcPr>
          <w:p>
            <w:pPr>
              <w:keepNext/>
              <w:spacing w:after="0"/>
              <w:jc w:val="left"/>
            </w:pPr>
            <w:r>
              <w:rPr>
                <w:b w:val="false"/>
                <w:bCs w:val="false"/>
                <w:sz w:val="18"/>
                <w:szCs w:val="18"/>
              </w:rPr>
              <w:t xml:space="preserve">Antigüedad</w:t>
            </w:r>
          </w:p>
        </w:tc>
        <w:tc>
          <w:tcPr>
            <w:tcW w:type="dxa" w:w="2278"/>
            <w:tcBorders>
              <w:top w:val="single" w:color="BFBFBF" w:sz="4"/>
              <w:left w:val="none" w:color="FFFFFF" w:sz="0"/>
              <w:bottom w:val="single" w:color="BFBFBF" w:sz="4"/>
              <w:right w:val="none" w:color="FFFFFF" w:sz="0"/>
            </w:tcBorders>
            <w:tcMar>
              <w:top w:type="dxa" w:w="40"/>
              <w:left w:type="dxa" w:w="90"/>
              <w:bottom w:type="dxa" w:w="40"/>
              <w:right w:type="dxa" w:w="90"/>
            </w:tcMar>
            <w:vAlign w:val="center"/>
          </w:tcPr>
          <w:p>
            <w:pPr>
              <w:keepNext/>
              <w:spacing w:after="0"/>
              <w:jc w:val="center"/>
            </w:pPr>
            <w:r>
              <w:rPr>
                <w:b w:val="false"/>
                <w:bCs w:val="false"/>
                <w:sz w:val="18"/>
                <w:szCs w:val="18"/>
              </w:rPr>
              <w:t xml:space="preserve">t de Welch (gl ≈ 338)</w:t>
            </w:r>
          </w:p>
        </w:tc>
        <w:tc>
          <w:tcPr>
            <w:tcW w:type="dxa" w:w="1667"/>
            <w:tcBorders>
              <w:top w:val="single" w:color="BFBFBF" w:sz="4"/>
              <w:left w:val="none" w:color="FFFFFF" w:sz="0"/>
              <w:bottom w:val="single" w:color="BFBFBF" w:sz="4"/>
              <w:right w:val="none" w:color="FFFFFF" w:sz="0"/>
            </w:tcBorders>
            <w:tcMar>
              <w:top w:type="dxa" w:w="40"/>
              <w:left w:type="dxa" w:w="90"/>
              <w:bottom w:type="dxa" w:w="40"/>
              <w:right w:type="dxa" w:w="90"/>
            </w:tcMar>
            <w:vAlign w:val="center"/>
          </w:tcPr>
          <w:p>
            <w:pPr>
              <w:keepNext/>
              <w:spacing w:after="0"/>
              <w:jc w:val="center"/>
            </w:pPr>
            <w:r>
              <w:rPr>
                <w:b w:val="false"/>
                <w:bCs w:val="false"/>
                <w:sz w:val="18"/>
                <w:szCs w:val="18"/>
              </w:rPr>
              <w:t xml:space="preserve">−5,28</w:t>
            </w:r>
          </w:p>
        </w:tc>
        <w:tc>
          <w:tcPr>
            <w:tcW w:type="dxa" w:w="1389"/>
            <w:tcBorders>
              <w:top w:val="single" w:color="BFBFBF" w:sz="4"/>
              <w:left w:val="none" w:color="FFFFFF" w:sz="0"/>
              <w:bottom w:val="single" w:color="BFBFBF" w:sz="4"/>
              <w:right w:val="none" w:color="FFFFFF" w:sz="0"/>
            </w:tcBorders>
            <w:tcMar>
              <w:top w:type="dxa" w:w="40"/>
              <w:left w:type="dxa" w:w="90"/>
              <w:bottom w:type="dxa" w:w="40"/>
              <w:right w:type="dxa" w:w="90"/>
            </w:tcMar>
            <w:vAlign w:val="center"/>
          </w:tcPr>
          <w:p>
            <w:pPr>
              <w:keepNext/>
              <w:spacing w:after="0"/>
              <w:jc w:val="center"/>
            </w:pPr>
            <w:r>
              <w:rPr>
                <w:b w:val="false"/>
                <w:bCs w:val="false"/>
                <w:sz w:val="18"/>
                <w:szCs w:val="18"/>
              </w:rPr>
              <w:t xml:space="preserve">&lt; 0,001</w:t>
            </w:r>
          </w:p>
        </w:tc>
        <w:tc>
          <w:tcPr>
            <w:tcW w:type="dxa" w:w="2112"/>
            <w:tcBorders>
              <w:top w:val="single" w:color="BFBFBF" w:sz="4"/>
              <w:left w:val="none" w:color="FFFFFF" w:sz="0"/>
              <w:bottom w:val="single" w:color="BFBFBF" w:sz="4"/>
              <w:right w:val="none" w:color="FFFFFF" w:sz="0"/>
            </w:tcBorders>
            <w:tcMar>
              <w:top w:type="dxa" w:w="40"/>
              <w:left w:type="dxa" w:w="90"/>
              <w:bottom w:type="dxa" w:w="40"/>
              <w:right w:type="dxa" w:w="90"/>
            </w:tcMar>
            <w:vAlign w:val="center"/>
          </w:tcPr>
          <w:p>
            <w:pPr>
              <w:keepNext/>
              <w:spacing w:after="0"/>
              <w:jc w:val="center"/>
            </w:pPr>
            <w:r>
              <w:rPr>
                <w:b w:val="false"/>
                <w:bCs w:val="false"/>
                <w:sz w:val="18"/>
                <w:szCs w:val="18"/>
              </w:rPr>
              <w:t xml:space="preserve">d = −0,37</w:t>
            </w:r>
          </w:p>
        </w:tc>
      </w:tr>
      <w:tr>
        <w:trPr>
          <w:cantSplit/>
        </w:trPr>
        <w:tc>
          <w:tcPr>
            <w:tcW w:type="dxa" w:w="2634"/>
            <w:tcBorders>
              <w:top w:val="single" w:color="BFBFBF" w:sz="4"/>
              <w:left w:val="none" w:color="FFFFFF" w:sz="0"/>
              <w:bottom w:val="single" w:color="BFBFBF" w:sz="4"/>
              <w:right w:val="none" w:color="FFFFFF" w:sz="0"/>
            </w:tcBorders>
            <w:tcMar>
              <w:top w:type="dxa" w:w="40"/>
              <w:left w:type="dxa" w:w="90"/>
              <w:bottom w:type="dxa" w:w="40"/>
              <w:right w:type="dxa" w:w="90"/>
            </w:tcMar>
            <w:vAlign w:val="center"/>
          </w:tcPr>
          <w:p>
            <w:pPr>
              <w:keepNext/>
              <w:spacing w:after="0"/>
              <w:jc w:val="left"/>
            </w:pPr>
            <w:r>
              <w:rPr>
                <w:b w:val="false"/>
                <w:bCs w:val="false"/>
                <w:sz w:val="18"/>
                <w:szCs w:val="18"/>
              </w:rPr>
              <w:t xml:space="preserve">Satisfacción laboral</w:t>
            </w:r>
          </w:p>
        </w:tc>
        <w:tc>
          <w:tcPr>
            <w:tcW w:type="dxa" w:w="2278"/>
            <w:tcBorders>
              <w:top w:val="single" w:color="BFBFBF" w:sz="4"/>
              <w:left w:val="none" w:color="FFFFFF" w:sz="0"/>
              <w:bottom w:val="single" w:color="BFBFBF" w:sz="4"/>
              <w:right w:val="none" w:color="FFFFFF" w:sz="0"/>
            </w:tcBorders>
            <w:tcMar>
              <w:top w:type="dxa" w:w="40"/>
              <w:left w:type="dxa" w:w="90"/>
              <w:bottom w:type="dxa" w:w="40"/>
              <w:right w:type="dxa" w:w="90"/>
            </w:tcMar>
            <w:vAlign w:val="center"/>
          </w:tcPr>
          <w:p>
            <w:pPr>
              <w:keepNext/>
              <w:spacing w:after="0"/>
              <w:jc w:val="center"/>
            </w:pPr>
            <w:r>
              <w:rPr>
                <w:b w:val="false"/>
                <w:bCs w:val="false"/>
                <w:sz w:val="18"/>
                <w:szCs w:val="18"/>
              </w:rPr>
              <w:t xml:space="preserve">χ² (gl = 3)</w:t>
            </w:r>
          </w:p>
        </w:tc>
        <w:tc>
          <w:tcPr>
            <w:tcW w:type="dxa" w:w="1667"/>
            <w:tcBorders>
              <w:top w:val="single" w:color="BFBFBF" w:sz="4"/>
              <w:left w:val="none" w:color="FFFFFF" w:sz="0"/>
              <w:bottom w:val="single" w:color="BFBFBF" w:sz="4"/>
              <w:right w:val="none" w:color="FFFFFF" w:sz="0"/>
            </w:tcBorders>
            <w:tcMar>
              <w:top w:type="dxa" w:w="40"/>
              <w:left w:type="dxa" w:w="90"/>
              <w:bottom w:type="dxa" w:w="40"/>
              <w:right w:type="dxa" w:w="90"/>
            </w:tcMar>
            <w:vAlign w:val="center"/>
          </w:tcPr>
          <w:p>
            <w:pPr>
              <w:keepNext/>
              <w:spacing w:after="0"/>
              <w:jc w:val="center"/>
            </w:pPr>
            <w:r>
              <w:rPr>
                <w:b w:val="false"/>
                <w:bCs w:val="false"/>
                <w:sz w:val="18"/>
                <w:szCs w:val="18"/>
              </w:rPr>
              <w:t xml:space="preserve">17,51</w:t>
            </w:r>
          </w:p>
        </w:tc>
        <w:tc>
          <w:tcPr>
            <w:tcW w:type="dxa" w:w="1389"/>
            <w:tcBorders>
              <w:top w:val="single" w:color="BFBFBF" w:sz="4"/>
              <w:left w:val="none" w:color="FFFFFF" w:sz="0"/>
              <w:bottom w:val="single" w:color="BFBFBF" w:sz="4"/>
              <w:right w:val="none" w:color="FFFFFF" w:sz="0"/>
            </w:tcBorders>
            <w:tcMar>
              <w:top w:type="dxa" w:w="40"/>
              <w:left w:type="dxa" w:w="90"/>
              <w:bottom w:type="dxa" w:w="40"/>
              <w:right w:type="dxa" w:w="90"/>
            </w:tcMar>
            <w:vAlign w:val="center"/>
          </w:tcPr>
          <w:p>
            <w:pPr>
              <w:keepNext/>
              <w:spacing w:after="0"/>
              <w:jc w:val="center"/>
            </w:pPr>
            <w:r>
              <w:rPr>
                <w:b w:val="false"/>
                <w:bCs w:val="false"/>
                <w:sz w:val="18"/>
                <w:szCs w:val="18"/>
              </w:rPr>
              <w:t xml:space="preserve">0,0006</w:t>
            </w:r>
          </w:p>
        </w:tc>
        <w:tc>
          <w:tcPr>
            <w:tcW w:type="dxa" w:w="2112"/>
            <w:tcBorders>
              <w:top w:val="single" w:color="BFBFBF" w:sz="4"/>
              <w:left w:val="none" w:color="FFFFFF" w:sz="0"/>
              <w:bottom w:val="single" w:color="BFBFBF" w:sz="4"/>
              <w:right w:val="none" w:color="FFFFFF" w:sz="0"/>
            </w:tcBorders>
            <w:tcMar>
              <w:top w:type="dxa" w:w="40"/>
              <w:left w:type="dxa" w:w="90"/>
              <w:bottom w:type="dxa" w:w="40"/>
              <w:right w:type="dxa" w:w="90"/>
            </w:tcMar>
            <w:vAlign w:val="center"/>
          </w:tcPr>
          <w:p>
            <w:pPr>
              <w:keepNext/>
              <w:spacing w:after="0"/>
              <w:jc w:val="center"/>
            </w:pPr>
            <w:r>
              <w:rPr>
                <w:b w:val="false"/>
                <w:bCs w:val="false"/>
                <w:sz w:val="18"/>
                <w:szCs w:val="18"/>
              </w:rPr>
              <w:t xml:space="preserve">V = 0,11</w:t>
            </w:r>
          </w:p>
        </w:tc>
      </w:tr>
    </w:tbl>
    <w:p>
      <w:pPr>
        <w:keepNext w:val="false"/>
        <w:spacing w:after="120" w:before="60"/>
        <w:jc w:val="center"/>
      </w:pPr>
      <w:r>
        <w:rPr>
          <w:color w:val="404040"/>
          <w:sz w:val="19"/>
          <w:szCs w:val="19"/>
        </w:rPr>
        <w:t xml:space="preserve">Tabla 6. Pruebas de asociación con la salida (α = 0,05). V: V de Cramér; d: d de Cohen (salió − permaneció).</w:t>
      </w:r>
    </w:p>
    <w:p>
      <w:pPr>
        <w:spacing w:after="120" w:before="0" w:line="264"/>
        <w:jc w:val="both"/>
      </w:pPr>
      <w:r>
        <w:t xml:space="preserve">Se rechaza H</w:t>
      </w:r>
      <w:r>
        <w:rPr>
          <w:vertAlign w:val="subscript"/>
        </w:rPr>
        <w:t xml:space="preserve">0</w:t>
      </w:r>
      <w:r>
        <w:t xml:space="preserve"> en las cuatro. Al hacer cuatro contrastes, la probabilidad de al menos un falso positivo (error tipo I) sube a cerca de 19 % si cada uno usa 0,05; con la corrección de Bonferroni (0,05 / 4 = 0,0125) las cuatro conclusiones se mantienen. Los valores </w:t>
      </w:r>
      <w:r>
        <w:rPr>
          <w:i/>
          <w:iCs/>
        </w:rPr>
        <w:t xml:space="preserve">p</w:t>
      </w:r>
      <w:r>
        <w:t xml:space="preserve"> tan pequeños se explican en parte por el tamaño de la muestra, así que la magnitud se lee en el tamaño del efecto. Con las referencias de Cohen (1988), la diferencia de ingreso (</w:t>
      </w:r>
      <w:r>
        <w:rPr>
          <w:i/>
          <w:iCs/>
        </w:rPr>
        <w:t xml:space="preserve">d</w:t>
      </w:r>
      <w:r>
        <w:t xml:space="preserve"> = −0,47) y la asociación con horas extra (V = 0,25) son pequeñas cercanas a moderadas; la de antigüedad es pequeña y la de satisfacción, débil.</w:t>
      </w:r>
    </w:p>
    <w:p>
      <w:pPr>
        <w:spacing w:after="120" w:before="0" w:line="264"/>
        <w:jc w:val="both"/>
      </w:pPr>
      <w:r>
        <w:rPr>
          <w:b/>
          <w:bCs/>
        </w:rPr>
        <w:t xml:space="preserve">Horas extra en detalle.</w:t>
      </w:r>
      <w:r>
        <w:t xml:space="preserve"> La prueba </w:t>
      </w:r>
      <w:r>
        <w:rPr>
          <w:i/>
          <w:iCs/>
        </w:rPr>
        <w:t xml:space="preserve">z</w:t>
      </w:r>
      <w:r>
        <w:t xml:space="preserve"> de dos proporciones es equivalente al χ² 2×2 (</w:t>
      </w:r>
      <w:r>
        <w:rPr>
          <w:i/>
          <w:iCs/>
        </w:rPr>
        <w:t xml:space="preserve">z</w:t>
      </w:r>
      <w:r>
        <w:t xml:space="preserve"> = 9,44; </w:t>
      </w:r>
      <w:r>
        <w:rPr>
          <w:i/>
          <w:iCs/>
        </w:rPr>
        <w:t xml:space="preserve">z</w:t>
      </w:r>
      <w:r>
        <w:t xml:space="preserve">² = χ²) y entrega dos medidas más fáciles de usar para decidir: la diferencia de salida es de 20,09 puntos porcentuales (IC 95 %: 15,30 a 24,89) y el </w:t>
      </w:r>
      <w:r>
        <w:rPr>
          <w:b/>
          <w:bCs/>
        </w:rPr>
        <w:t xml:space="preserve">riesgo relativo es 2,93</w:t>
      </w:r>
      <w:r>
        <w:t xml:space="preserve">, es decir, quienes hacen horas extra salen casi tres veces más que quienes no las hacen.</w:t>
      </w:r>
    </w:p>
    <w:p>
      <w:pPr>
        <w:pStyle w:val="Heading1"/>
        <w:keepNext/>
        <w:spacing w:after="100" w:before="200"/>
      </w:pPr>
      <w:r>
        <w:t xml:space="preserve">5. Documentación de procedimientos y resultados</w:t>
      </w:r>
    </w:p>
    <w:p>
      <w:pPr>
        <w:keepNext/>
        <w:spacing w:after="120" w:before="0" w:line="264"/>
        <w:jc w:val="both"/>
      </w:pPr>
      <w:r>
        <w:t xml:space="preserve">Todo el análisis está en </w:t>
      </w:r>
      <w:r>
        <w:rPr>
          <w:i/>
          <w:iCs/>
        </w:rPr>
        <w:t xml:space="preserve">Formativa1/F1_IBM_HR_Analisis.ipynb</w:t>
      </w:r>
      <w:r>
        <w:t xml:space="preserve">, organizado en el mismo orden de este informe. El cuaderno lee el CSV original desde </w:t>
      </w:r>
      <w:r>
        <w:rPr>
          <w:i/>
          <w:iCs/>
        </w:rPr>
        <w:t xml:space="preserve">datos/raw</w:t>
      </w:r>
      <w:r>
        <w:t xml:space="preserve"> con ruta relativa, registra las versiones (Python 3.13, pandas 3.0, NumPy 2.5, SciPy 1.18, Matplotlib 3.11, seaborn 0.13), fija la semilla 42 y corre completo con </w:t>
      </w:r>
      <w:r>
        <w:rPr>
          <w:i/>
          <w:iCs/>
        </w:rPr>
        <w:t xml:space="preserve">Restart Kernel and Run All</w:t>
      </w:r>
      <w:r>
        <w:t xml:space="preserve">. Cada etapa es una función con un solo propósito y termina en verificaciones (</w:t>
      </w:r>
      <w:r>
        <w:rPr>
          <w:i/>
          <w:iCs/>
        </w:rPr>
        <w:t xml:space="preserve">assert</w:t>
      </w:r>
      <w:r>
        <w:t xml:space="preserve">) que detienen la ejecución si algo cambia: dimensiones, 147 faltantes por variable, original intacto, frecuencias esperadas ≥ 5 y </w:t>
      </w:r>
      <w:r>
        <w:rPr>
          <w:i/>
          <w:iCs/>
        </w:rPr>
        <w:t xml:space="preserve">z</w:t>
      </w:r>
      <w:r>
        <w:t xml:space="preserve">² = χ². Las tablas y figuras de este informe se exportan desde el cuaderno a </w:t>
      </w:r>
      <w:r>
        <w:rPr>
          <w:i/>
          <w:iCs/>
        </w:rPr>
        <w:t xml:space="preserve">Formativa1/resultados</w:t>
      </w:r>
      <w:r>
        <w:t xml:space="preserve"> y </w:t>
      </w:r>
      <w:r>
        <w:rPr>
          <w:i/>
          <w:iCs/>
        </w:rPr>
        <w:t xml:space="preserve">Formativa1/figuras</w:t>
      </w:r>
      <w:r>
        <w:t xml:space="preserve">.</w:t>
      </w:r>
    </w:p>
    <w:tbl>
      <w:tblPr>
        <w:tblW w:type="dxa" w:w="10080"/>
        <w:jc w:val="center"/>
        <w:tblBorders>
          <w:top w:val="single" w:color="auto" w:sz="4"/>
          <w:left w:val="single" w:color="auto" w:sz="4"/>
          <w:bottom w:val="single" w:color="auto" w:sz="4"/>
          <w:right w:val="single" w:color="auto" w:sz="4"/>
          <w:insideH w:val="single" w:color="auto" w:sz="4"/>
          <w:insideV w:val="single" w:color="auto" w:sz="4"/>
        </w:tblBorders>
      </w:tblPr>
      <w:tblGrid>
        <w:gridCol w:w="1889"/>
        <w:gridCol w:w="5412"/>
        <w:gridCol w:w="2779"/>
      </w:tblGrid>
      <w:tr>
        <w:trPr>
          <w:tblHeader/>
        </w:trPr>
        <w:tc>
          <w:tcPr>
            <w:tcW w:type="dxa" w:w="1889"/>
            <w:tcBorders>
              <w:top w:val="single" w:color="BFBFBF" w:sz="4"/>
              <w:left w:val="none" w:color="FFFFFF" w:sz="0"/>
              <w:bottom w:val="single" w:color="BFBFBF" w:sz="4"/>
              <w:right w:val="none" w:color="FFFFFF" w:sz="0"/>
            </w:tcBorders>
            <w:shd w:fill="E9EEF4" w:color="auto" w:val="clear"/>
            <w:tcMar>
              <w:top w:type="dxa" w:w="40"/>
              <w:left w:type="dxa" w:w="90"/>
              <w:bottom w:type="dxa" w:w="40"/>
              <w:right w:type="dxa" w:w="90"/>
            </w:tcMar>
            <w:vAlign w:val="center"/>
          </w:tcPr>
          <w:p>
            <w:pPr>
              <w:keepNext/>
              <w:spacing w:after="0"/>
              <w:jc w:val="left"/>
            </w:pPr>
            <w:r>
              <w:rPr>
                <w:b/>
                <w:bCs/>
                <w:sz w:val="18"/>
                <w:szCs w:val="18"/>
              </w:rPr>
              <w:t xml:space="preserve">Etapa</w:t>
            </w:r>
          </w:p>
        </w:tc>
        <w:tc>
          <w:tcPr>
            <w:tcW w:type="dxa" w:w="5412"/>
            <w:tcBorders>
              <w:top w:val="single" w:color="BFBFBF" w:sz="4"/>
              <w:left w:val="none" w:color="FFFFFF" w:sz="0"/>
              <w:bottom w:val="single" w:color="BFBFBF" w:sz="4"/>
              <w:right w:val="none" w:color="FFFFFF" w:sz="0"/>
            </w:tcBorders>
            <w:shd w:fill="E9EEF4" w:color="auto" w:val="clear"/>
            <w:tcMar>
              <w:top w:type="dxa" w:w="40"/>
              <w:left w:type="dxa" w:w="90"/>
              <w:bottom w:type="dxa" w:w="40"/>
              <w:right w:type="dxa" w:w="90"/>
            </w:tcMar>
            <w:vAlign w:val="center"/>
          </w:tcPr>
          <w:p>
            <w:pPr>
              <w:keepNext/>
              <w:spacing w:after="0"/>
              <w:jc w:val="center"/>
            </w:pPr>
            <w:r>
              <w:rPr>
                <w:b/>
                <w:bCs/>
                <w:sz w:val="18"/>
                <w:szCs w:val="18"/>
              </w:rPr>
              <w:t xml:space="preserve">Procedimiento</w:t>
            </w:r>
          </w:p>
        </w:tc>
        <w:tc>
          <w:tcPr>
            <w:tcW w:type="dxa" w:w="2779"/>
            <w:tcBorders>
              <w:top w:val="single" w:color="BFBFBF" w:sz="4"/>
              <w:left w:val="none" w:color="FFFFFF" w:sz="0"/>
              <w:bottom w:val="single" w:color="BFBFBF" w:sz="4"/>
              <w:right w:val="none" w:color="FFFFFF" w:sz="0"/>
            </w:tcBorders>
            <w:shd w:fill="E9EEF4" w:color="auto" w:val="clear"/>
            <w:tcMar>
              <w:top w:type="dxa" w:w="40"/>
              <w:left w:type="dxa" w:w="90"/>
              <w:bottom w:type="dxa" w:w="40"/>
              <w:right w:type="dxa" w:w="90"/>
            </w:tcMar>
            <w:vAlign w:val="center"/>
          </w:tcPr>
          <w:p>
            <w:pPr>
              <w:keepNext/>
              <w:spacing w:after="0"/>
              <w:jc w:val="center"/>
            </w:pPr>
            <w:r>
              <w:rPr>
                <w:b/>
                <w:bCs/>
                <w:sz w:val="18"/>
                <w:szCs w:val="18"/>
              </w:rPr>
              <w:t xml:space="preserve">Salida</w:t>
            </w:r>
          </w:p>
        </w:tc>
      </w:tr>
      <w:tr>
        <w:trPr>
          <w:cantSplit/>
        </w:trPr>
        <w:tc>
          <w:tcPr>
            <w:tcW w:type="dxa" w:w="1889"/>
            <w:tcBorders>
              <w:top w:val="single" w:color="BFBFBF" w:sz="4"/>
              <w:left w:val="none" w:color="FFFFFF" w:sz="0"/>
              <w:bottom w:val="single" w:color="BFBFBF" w:sz="4"/>
              <w:right w:val="none" w:color="FFFFFF" w:sz="0"/>
            </w:tcBorders>
            <w:tcMar>
              <w:top w:type="dxa" w:w="40"/>
              <w:left w:type="dxa" w:w="90"/>
              <w:bottom w:type="dxa" w:w="40"/>
              <w:right w:type="dxa" w:w="90"/>
            </w:tcMar>
            <w:vAlign w:val="center"/>
          </w:tcPr>
          <w:p>
            <w:pPr>
              <w:keepNext/>
              <w:spacing w:after="0"/>
              <w:jc w:val="left"/>
            </w:pPr>
            <w:r>
              <w:rPr>
                <w:b w:val="false"/>
                <w:bCs w:val="false"/>
                <w:sz w:val="18"/>
                <w:szCs w:val="18"/>
              </w:rPr>
              <w:t xml:space="preserve">Calidad</w:t>
            </w:r>
          </w:p>
        </w:tc>
        <w:tc>
          <w:tcPr>
            <w:tcW w:type="dxa" w:w="5412"/>
            <w:tcBorders>
              <w:top w:val="single" w:color="BFBFBF" w:sz="4"/>
              <w:left w:val="none" w:color="FFFFFF" w:sz="0"/>
              <w:bottom w:val="single" w:color="BFBFBF" w:sz="4"/>
              <w:right w:val="none" w:color="FFFFFF" w:sz="0"/>
            </w:tcBorders>
            <w:tcMar>
              <w:top w:type="dxa" w:w="40"/>
              <w:left w:type="dxa" w:w="90"/>
              <w:bottom w:type="dxa" w:w="40"/>
              <w:right w:type="dxa" w:w="90"/>
            </w:tcMar>
            <w:vAlign w:val="center"/>
          </w:tcPr>
          <w:p>
            <w:pPr>
              <w:keepNext/>
              <w:spacing w:after="0"/>
              <w:jc w:val="left"/>
            </w:pPr>
            <w:r>
              <w:rPr>
                <w:b w:val="false"/>
                <w:bCs w:val="false"/>
                <w:sz w:val="18"/>
                <w:szCs w:val="18"/>
              </w:rPr>
              <w:t xml:space="preserve">shape, isna, duplicated, unicidad del ID, columnas constantes</w:t>
            </w:r>
          </w:p>
        </w:tc>
        <w:tc>
          <w:tcPr>
            <w:tcW w:type="dxa" w:w="2779"/>
            <w:tcBorders>
              <w:top w:val="single" w:color="BFBFBF" w:sz="4"/>
              <w:left w:val="none" w:color="FFFFFF" w:sz="0"/>
              <w:bottom w:val="single" w:color="BFBFBF" w:sz="4"/>
              <w:right w:val="none" w:color="FFFFFF" w:sz="0"/>
            </w:tcBorders>
            <w:tcMar>
              <w:top w:type="dxa" w:w="40"/>
              <w:left w:type="dxa" w:w="90"/>
              <w:bottom w:type="dxa" w:w="40"/>
              <w:right w:type="dxa" w:w="90"/>
            </w:tcMar>
            <w:vAlign w:val="center"/>
          </w:tcPr>
          <w:p>
            <w:pPr>
              <w:keepNext/>
              <w:spacing w:after="0"/>
              <w:jc w:val="left"/>
            </w:pPr>
            <w:r>
              <w:rPr>
                <w:b w:val="false"/>
                <w:bCs w:val="false"/>
                <w:sz w:val="18"/>
                <w:szCs w:val="18"/>
              </w:rPr>
              <w:t xml:space="preserve">Verificaciones con assert</w:t>
            </w:r>
          </w:p>
        </w:tc>
      </w:tr>
      <w:tr>
        <w:trPr>
          <w:cantSplit/>
        </w:trPr>
        <w:tc>
          <w:tcPr>
            <w:tcW w:type="dxa" w:w="1889"/>
            <w:tcBorders>
              <w:top w:val="single" w:color="BFBFBF" w:sz="4"/>
              <w:left w:val="none" w:color="FFFFFF" w:sz="0"/>
              <w:bottom w:val="single" w:color="BFBFBF" w:sz="4"/>
              <w:right w:val="none" w:color="FFFFFF" w:sz="0"/>
            </w:tcBorders>
            <w:tcMar>
              <w:top w:type="dxa" w:w="40"/>
              <w:left w:type="dxa" w:w="90"/>
              <w:bottom w:type="dxa" w:w="40"/>
              <w:right w:type="dxa" w:w="90"/>
            </w:tcMar>
            <w:vAlign w:val="center"/>
          </w:tcPr>
          <w:p>
            <w:pPr>
              <w:keepNext/>
              <w:spacing w:after="0"/>
              <w:jc w:val="left"/>
            </w:pPr>
            <w:r>
              <w:rPr>
                <w:b w:val="false"/>
                <w:bCs w:val="false"/>
                <w:sz w:val="18"/>
                <w:szCs w:val="18"/>
              </w:rPr>
              <w:t xml:space="preserve">Tipos de variables</w:t>
            </w:r>
          </w:p>
        </w:tc>
        <w:tc>
          <w:tcPr>
            <w:tcW w:type="dxa" w:w="5412"/>
            <w:tcBorders>
              <w:top w:val="single" w:color="BFBFBF" w:sz="4"/>
              <w:left w:val="none" w:color="FFFFFF" w:sz="0"/>
              <w:bottom w:val="single" w:color="BFBFBF" w:sz="4"/>
              <w:right w:val="none" w:color="FFFFFF" w:sz="0"/>
            </w:tcBorders>
            <w:tcMar>
              <w:top w:type="dxa" w:w="40"/>
              <w:left w:type="dxa" w:w="90"/>
              <w:bottom w:type="dxa" w:w="40"/>
              <w:right w:type="dxa" w:w="90"/>
            </w:tcMar>
            <w:vAlign w:val="center"/>
          </w:tcPr>
          <w:p>
            <w:pPr>
              <w:keepNext/>
              <w:spacing w:after="0"/>
              <w:jc w:val="left"/>
            </w:pPr>
            <w:r>
              <w:rPr>
                <w:b w:val="false"/>
                <w:bCs w:val="false"/>
                <w:sz w:val="18"/>
                <w:szCs w:val="18"/>
              </w:rPr>
              <w:t xml:space="preserve">Clasificación nominal / ordinal / discreta / continua y rol</w:t>
            </w:r>
          </w:p>
        </w:tc>
        <w:tc>
          <w:tcPr>
            <w:tcW w:type="dxa" w:w="2779"/>
            <w:tcBorders>
              <w:top w:val="single" w:color="BFBFBF" w:sz="4"/>
              <w:left w:val="none" w:color="FFFFFF" w:sz="0"/>
              <w:bottom w:val="single" w:color="BFBFBF" w:sz="4"/>
              <w:right w:val="none" w:color="FFFFFF" w:sz="0"/>
            </w:tcBorders>
            <w:tcMar>
              <w:top w:type="dxa" w:w="40"/>
              <w:left w:type="dxa" w:w="90"/>
              <w:bottom w:type="dxa" w:w="40"/>
              <w:right w:type="dxa" w:w="90"/>
            </w:tcMar>
            <w:vAlign w:val="center"/>
          </w:tcPr>
          <w:p>
            <w:pPr>
              <w:keepNext/>
              <w:spacing w:after="0"/>
              <w:jc w:val="left"/>
            </w:pPr>
            <w:r>
              <w:rPr>
                <w:b w:val="false"/>
                <w:bCs w:val="false"/>
                <w:sz w:val="18"/>
                <w:szCs w:val="18"/>
              </w:rPr>
              <w:t xml:space="preserve">diccionario_variables.csv</w:t>
            </w:r>
          </w:p>
        </w:tc>
      </w:tr>
      <w:tr>
        <w:trPr>
          <w:cantSplit/>
        </w:trPr>
        <w:tc>
          <w:tcPr>
            <w:tcW w:type="dxa" w:w="1889"/>
            <w:tcBorders>
              <w:top w:val="single" w:color="BFBFBF" w:sz="4"/>
              <w:left w:val="none" w:color="FFFFFF" w:sz="0"/>
              <w:bottom w:val="single" w:color="BFBFBF" w:sz="4"/>
              <w:right w:val="none" w:color="FFFFFF" w:sz="0"/>
            </w:tcBorders>
            <w:tcMar>
              <w:top w:type="dxa" w:w="40"/>
              <w:left w:type="dxa" w:w="90"/>
              <w:bottom w:type="dxa" w:w="40"/>
              <w:right w:type="dxa" w:w="90"/>
            </w:tcMar>
            <w:vAlign w:val="center"/>
          </w:tcPr>
          <w:p>
            <w:pPr>
              <w:keepNext/>
              <w:spacing w:after="0"/>
              <w:jc w:val="left"/>
            </w:pPr>
            <w:r>
              <w:rPr>
                <w:b w:val="false"/>
                <w:bCs w:val="false"/>
                <w:sz w:val="18"/>
                <w:szCs w:val="18"/>
              </w:rPr>
              <w:t xml:space="preserve">MCAR</w:t>
            </w:r>
          </w:p>
        </w:tc>
        <w:tc>
          <w:tcPr>
            <w:tcW w:type="dxa" w:w="5412"/>
            <w:tcBorders>
              <w:top w:val="single" w:color="BFBFBF" w:sz="4"/>
              <w:left w:val="none" w:color="FFFFFF" w:sz="0"/>
              <w:bottom w:val="single" w:color="BFBFBF" w:sz="4"/>
              <w:right w:val="none" w:color="FFFFFF" w:sz="0"/>
            </w:tcBorders>
            <w:tcMar>
              <w:top w:type="dxa" w:w="40"/>
              <w:left w:type="dxa" w:w="90"/>
              <w:bottom w:type="dxa" w:w="40"/>
              <w:right w:type="dxa" w:w="90"/>
            </w:tcMar>
            <w:vAlign w:val="center"/>
          </w:tcPr>
          <w:p>
            <w:pPr>
              <w:keepNext/>
              <w:spacing w:after="0"/>
              <w:jc w:val="left"/>
            </w:pPr>
            <w:r>
              <w:rPr>
                <w:b w:val="false"/>
                <w:bCs w:val="false"/>
                <w:sz w:val="18"/>
                <w:szCs w:val="18"/>
              </w:rPr>
              <w:t xml:space="preserve">generar_mcar(): 10 % al azar, semilla 42; control con Fisher</w:t>
            </w:r>
          </w:p>
        </w:tc>
        <w:tc>
          <w:tcPr>
            <w:tcW w:type="dxa" w:w="2779"/>
            <w:tcBorders>
              <w:top w:val="single" w:color="BFBFBF" w:sz="4"/>
              <w:left w:val="none" w:color="FFFFFF" w:sz="0"/>
              <w:bottom w:val="single" w:color="BFBFBF" w:sz="4"/>
              <w:right w:val="none" w:color="FFFFFF" w:sz="0"/>
            </w:tcBorders>
            <w:tcMar>
              <w:top w:type="dxa" w:w="40"/>
              <w:left w:type="dxa" w:w="90"/>
              <w:bottom w:type="dxa" w:w="40"/>
              <w:right w:type="dxa" w:w="90"/>
            </w:tcMar>
            <w:vAlign w:val="center"/>
          </w:tcPr>
          <w:p>
            <w:pPr>
              <w:keepNext/>
              <w:spacing w:after="0"/>
              <w:jc w:val="left"/>
            </w:pPr>
            <w:r>
              <w:rPr>
                <w:b w:val="false"/>
                <w:bCs w:val="false"/>
                <w:sz w:val="18"/>
                <w:szCs w:val="18"/>
              </w:rPr>
              <w:t xml:space="preserve">datos/processed (2 CSV)</w:t>
            </w:r>
          </w:p>
        </w:tc>
      </w:tr>
      <w:tr>
        <w:trPr>
          <w:cantSplit/>
        </w:trPr>
        <w:tc>
          <w:tcPr>
            <w:tcW w:type="dxa" w:w="1889"/>
            <w:tcBorders>
              <w:top w:val="single" w:color="BFBFBF" w:sz="4"/>
              <w:left w:val="none" w:color="FFFFFF" w:sz="0"/>
              <w:bottom w:val="single" w:color="BFBFBF" w:sz="4"/>
              <w:right w:val="none" w:color="FFFFFF" w:sz="0"/>
            </w:tcBorders>
            <w:tcMar>
              <w:top w:type="dxa" w:w="40"/>
              <w:left w:type="dxa" w:w="90"/>
              <w:bottom w:type="dxa" w:w="40"/>
              <w:right w:type="dxa" w:w="90"/>
            </w:tcMar>
            <w:vAlign w:val="center"/>
          </w:tcPr>
          <w:p>
            <w:pPr>
              <w:keepNext/>
              <w:spacing w:after="0"/>
              <w:jc w:val="left"/>
            </w:pPr>
            <w:r>
              <w:rPr>
                <w:b w:val="false"/>
                <w:bCs w:val="false"/>
                <w:sz w:val="18"/>
                <w:szCs w:val="18"/>
              </w:rPr>
              <w:t xml:space="preserve">Descriptiva</w:t>
            </w:r>
          </w:p>
        </w:tc>
        <w:tc>
          <w:tcPr>
            <w:tcW w:type="dxa" w:w="5412"/>
            <w:tcBorders>
              <w:top w:val="single" w:color="BFBFBF" w:sz="4"/>
              <w:left w:val="none" w:color="FFFFFF" w:sz="0"/>
              <w:bottom w:val="single" w:color="BFBFBF" w:sz="4"/>
              <w:right w:val="none" w:color="FFFFFF" w:sz="0"/>
            </w:tcBorders>
            <w:tcMar>
              <w:top w:type="dxa" w:w="40"/>
              <w:left w:type="dxa" w:w="90"/>
              <w:bottom w:type="dxa" w:w="40"/>
              <w:right w:type="dxa" w:w="90"/>
            </w:tcMar>
            <w:vAlign w:val="center"/>
          </w:tcPr>
          <w:p>
            <w:pPr>
              <w:keepNext/>
              <w:spacing w:after="0"/>
              <w:jc w:val="left"/>
            </w:pPr>
            <w:r>
              <w:rPr>
                <w:b w:val="false"/>
                <w:bCs w:val="false"/>
                <w:sz w:val="18"/>
                <w:szCs w:val="18"/>
              </w:rPr>
              <w:t xml:space="preserve">resumen_numerico(), comparar_por_salida(), tasa_salida_por_categoria()</w:t>
            </w:r>
          </w:p>
        </w:tc>
        <w:tc>
          <w:tcPr>
            <w:tcW w:type="dxa" w:w="2779"/>
            <w:tcBorders>
              <w:top w:val="single" w:color="BFBFBF" w:sz="4"/>
              <w:left w:val="none" w:color="FFFFFF" w:sz="0"/>
              <w:bottom w:val="single" w:color="BFBFBF" w:sz="4"/>
              <w:right w:val="none" w:color="FFFFFF" w:sz="0"/>
            </w:tcBorders>
            <w:tcMar>
              <w:top w:type="dxa" w:w="40"/>
              <w:left w:type="dxa" w:w="90"/>
              <w:bottom w:type="dxa" w:w="40"/>
              <w:right w:type="dxa" w:w="90"/>
            </w:tcMar>
            <w:vAlign w:val="center"/>
          </w:tcPr>
          <w:p>
            <w:pPr>
              <w:keepNext/>
              <w:spacing w:after="0"/>
              <w:jc w:val="left"/>
            </w:pPr>
            <w:r>
              <w:rPr>
                <w:b w:val="false"/>
                <w:bCs w:val="false"/>
                <w:sz w:val="18"/>
                <w:szCs w:val="18"/>
              </w:rPr>
              <w:t xml:space="preserve">Tablas 3–4, Figuras 1–2</w:t>
            </w:r>
          </w:p>
        </w:tc>
      </w:tr>
      <w:tr>
        <w:trPr>
          <w:cantSplit/>
        </w:trPr>
        <w:tc>
          <w:tcPr>
            <w:tcW w:type="dxa" w:w="1889"/>
            <w:tcBorders>
              <w:top w:val="single" w:color="BFBFBF" w:sz="4"/>
              <w:left w:val="none" w:color="FFFFFF" w:sz="0"/>
              <w:bottom w:val="single" w:color="BFBFBF" w:sz="4"/>
              <w:right w:val="none" w:color="FFFFFF" w:sz="0"/>
            </w:tcBorders>
            <w:tcMar>
              <w:top w:type="dxa" w:w="40"/>
              <w:left w:type="dxa" w:w="90"/>
              <w:bottom w:type="dxa" w:w="40"/>
              <w:right w:type="dxa" w:w="90"/>
            </w:tcMar>
            <w:vAlign w:val="center"/>
          </w:tcPr>
          <w:p>
            <w:pPr>
              <w:keepNext/>
              <w:spacing w:after="0"/>
              <w:jc w:val="left"/>
            </w:pPr>
            <w:r>
              <w:rPr>
                <w:b w:val="false"/>
                <w:bCs w:val="false"/>
                <w:sz w:val="18"/>
                <w:szCs w:val="18"/>
              </w:rPr>
              <w:t xml:space="preserve">Estimación</w:t>
            </w:r>
          </w:p>
        </w:tc>
        <w:tc>
          <w:tcPr>
            <w:tcW w:type="dxa" w:w="5412"/>
            <w:tcBorders>
              <w:top w:val="single" w:color="BFBFBF" w:sz="4"/>
              <w:left w:val="none" w:color="FFFFFF" w:sz="0"/>
              <w:bottom w:val="single" w:color="BFBFBF" w:sz="4"/>
              <w:right w:val="none" w:color="FFFFFF" w:sz="0"/>
            </w:tcBorders>
            <w:tcMar>
              <w:top w:type="dxa" w:w="40"/>
              <w:left w:type="dxa" w:w="90"/>
              <w:bottom w:type="dxa" w:w="40"/>
              <w:right w:type="dxa" w:w="90"/>
            </w:tcMar>
            <w:vAlign w:val="center"/>
          </w:tcPr>
          <w:p>
            <w:pPr>
              <w:keepNext/>
              <w:spacing w:after="0"/>
              <w:jc w:val="left"/>
            </w:pPr>
            <w:r>
              <w:rPr>
                <w:b w:val="false"/>
                <w:bCs w:val="false"/>
                <w:sz w:val="18"/>
                <w:szCs w:val="18"/>
              </w:rPr>
              <w:t xml:space="preserve">ic_wilson() y ic_media_t() (scipy.stats.t.interval)</w:t>
            </w:r>
          </w:p>
        </w:tc>
        <w:tc>
          <w:tcPr>
            <w:tcW w:type="dxa" w:w="2779"/>
            <w:tcBorders>
              <w:top w:val="single" w:color="BFBFBF" w:sz="4"/>
              <w:left w:val="none" w:color="FFFFFF" w:sz="0"/>
              <w:bottom w:val="single" w:color="BFBFBF" w:sz="4"/>
              <w:right w:val="none" w:color="FFFFFF" w:sz="0"/>
            </w:tcBorders>
            <w:tcMar>
              <w:top w:type="dxa" w:w="40"/>
              <w:left w:type="dxa" w:w="90"/>
              <w:bottom w:type="dxa" w:w="40"/>
              <w:right w:type="dxa" w:w="90"/>
            </w:tcMar>
            <w:vAlign w:val="center"/>
          </w:tcPr>
          <w:p>
            <w:pPr>
              <w:keepNext/>
              <w:spacing w:after="0"/>
              <w:jc w:val="left"/>
            </w:pPr>
            <w:r>
              <w:rPr>
                <w:b w:val="false"/>
                <w:bCs w:val="false"/>
                <w:sz w:val="18"/>
                <w:szCs w:val="18"/>
              </w:rPr>
              <w:t xml:space="preserve">Tabla 5</w:t>
            </w:r>
          </w:p>
        </w:tc>
      </w:tr>
      <w:tr>
        <w:trPr>
          <w:cantSplit/>
        </w:trPr>
        <w:tc>
          <w:tcPr>
            <w:tcW w:type="dxa" w:w="1889"/>
            <w:tcBorders>
              <w:top w:val="single" w:color="BFBFBF" w:sz="4"/>
              <w:left w:val="none" w:color="FFFFFF" w:sz="0"/>
              <w:bottom w:val="single" w:color="BFBFBF" w:sz="4"/>
              <w:right w:val="none" w:color="FFFFFF" w:sz="0"/>
            </w:tcBorders>
            <w:tcMar>
              <w:top w:type="dxa" w:w="40"/>
              <w:left w:type="dxa" w:w="90"/>
              <w:bottom w:type="dxa" w:w="40"/>
              <w:right w:type="dxa" w:w="90"/>
            </w:tcMar>
            <w:vAlign w:val="center"/>
          </w:tcPr>
          <w:p>
            <w:pPr>
              <w:keepNext/>
              <w:spacing w:after="0"/>
              <w:jc w:val="left"/>
            </w:pPr>
            <w:r>
              <w:rPr>
                <w:b w:val="false"/>
                <w:bCs w:val="false"/>
                <w:sz w:val="18"/>
                <w:szCs w:val="18"/>
              </w:rPr>
              <w:t xml:space="preserve">Pruebas</w:t>
            </w:r>
          </w:p>
        </w:tc>
        <w:tc>
          <w:tcPr>
            <w:tcW w:type="dxa" w:w="5412"/>
            <w:tcBorders>
              <w:top w:val="single" w:color="BFBFBF" w:sz="4"/>
              <w:left w:val="none" w:color="FFFFFF" w:sz="0"/>
              <w:bottom w:val="single" w:color="BFBFBF" w:sz="4"/>
              <w:right w:val="none" w:color="FFFFFF" w:sz="0"/>
            </w:tcBorders>
            <w:tcMar>
              <w:top w:type="dxa" w:w="40"/>
              <w:left w:type="dxa" w:w="90"/>
              <w:bottom w:type="dxa" w:w="40"/>
              <w:right w:type="dxa" w:w="90"/>
            </w:tcMar>
            <w:vAlign w:val="center"/>
          </w:tcPr>
          <w:p>
            <w:pPr>
              <w:keepNext/>
              <w:spacing w:after="0"/>
              <w:jc w:val="left"/>
            </w:pPr>
            <w:r>
              <w:rPr>
                <w:b w:val="false"/>
                <w:bCs w:val="false"/>
                <w:sz w:val="18"/>
                <w:szCs w:val="18"/>
              </w:rPr>
              <w:t xml:space="preserve">chi2_contingency, ttest_ind(equal_var=False), mannwhitneyu, z de dos proporciones</w:t>
            </w:r>
          </w:p>
        </w:tc>
        <w:tc>
          <w:tcPr>
            <w:tcW w:type="dxa" w:w="2779"/>
            <w:tcBorders>
              <w:top w:val="single" w:color="BFBFBF" w:sz="4"/>
              <w:left w:val="none" w:color="FFFFFF" w:sz="0"/>
              <w:bottom w:val="single" w:color="BFBFBF" w:sz="4"/>
              <w:right w:val="none" w:color="FFFFFF" w:sz="0"/>
            </w:tcBorders>
            <w:tcMar>
              <w:top w:type="dxa" w:w="40"/>
              <w:left w:type="dxa" w:w="90"/>
              <w:bottom w:type="dxa" w:w="40"/>
              <w:right w:type="dxa" w:w="90"/>
            </w:tcMar>
            <w:vAlign w:val="center"/>
          </w:tcPr>
          <w:p>
            <w:pPr>
              <w:keepNext/>
              <w:spacing w:after="0"/>
              <w:jc w:val="left"/>
            </w:pPr>
            <w:r>
              <w:rPr>
                <w:b w:val="false"/>
                <w:bCs w:val="false"/>
                <w:sz w:val="18"/>
                <w:szCs w:val="18"/>
              </w:rPr>
              <w:t xml:space="preserve">Tabla 6</w:t>
            </w:r>
          </w:p>
        </w:tc>
      </w:tr>
    </w:tbl>
    <w:p>
      <w:pPr>
        <w:keepNext w:val="false"/>
        <w:spacing w:after="120" w:before="60"/>
        <w:jc w:val="center"/>
      </w:pPr>
      <w:r>
        <w:rPr>
          <w:color w:val="404040"/>
          <w:sz w:val="19"/>
          <w:szCs w:val="19"/>
        </w:rPr>
        <w:t xml:space="preserve">Tabla 7. Procedimientos del cuaderno y su correspondencia con el informe.</w:t>
      </w:r>
    </w:p>
    <w:p>
      <w:pPr>
        <w:pStyle w:val="Heading1"/>
        <w:keepNext/>
        <w:spacing w:after="100" w:before="200"/>
      </w:pPr>
      <w:r>
        <w:t xml:space="preserve">6. Interpretación preliminar de resultados</w:t>
      </w:r>
    </w:p>
    <w:p>
      <w:pPr>
        <w:spacing w:after="120" w:before="0" w:line="264"/>
        <w:jc w:val="both"/>
      </w:pPr>
      <w:r>
        <w:t xml:space="preserve">Las cuatro variables se asocian con la salida, con fuerza distinta. Ordenadas por magnitud:</w:t>
      </w:r>
    </w:p>
    <w:p>
      <w:pPr>
        <w:pStyle w:val="ListParagraph"/>
        <w:numPr>
          <w:ilvl w:val="0"/>
          <w:numId w:val="2"/>
        </w:numPr>
        <w:spacing w:after="60" w:line="264"/>
        <w:jc w:val="both"/>
      </w:pPr>
      <w:r>
        <w:rPr>
          <w:b/>
          <w:bCs/>
        </w:rPr>
        <w:t xml:space="preserve">Horas extra</w:t>
      </w:r>
      <w:r>
        <w:t xml:space="preserve"> es la señal más clara: 30,5 % de salida frente a 10,4 % y un riesgo relativo cercano a 3. Para una jefatura, es la variable más fácil de vigilar, porque se registra mes a mes.</w:t>
      </w:r>
    </w:p>
    <w:p>
      <w:pPr>
        <w:pStyle w:val="ListParagraph"/>
        <w:numPr>
          <w:ilvl w:val="0"/>
          <w:numId w:val="2"/>
        </w:numPr>
        <w:spacing w:after="60" w:line="264"/>
        <w:jc w:val="both"/>
      </w:pPr>
      <w:r>
        <w:rPr>
          <w:b/>
          <w:bCs/>
        </w:rPr>
        <w:t xml:space="preserve">Antigüedad</w:t>
      </w:r>
      <w:r>
        <w:t xml:space="preserve">: la salida se concentra al inicio. Casi 3 de cada 10 personas con hasta dos años en la empresa salen, frente a menos de 1 de cada 10 sobre los diez años. Apunta a la inducción y al seguimiento del primer año.</w:t>
      </w:r>
    </w:p>
    <w:p>
      <w:pPr>
        <w:pStyle w:val="ListParagraph"/>
        <w:numPr>
          <w:ilvl w:val="0"/>
          <w:numId w:val="2"/>
        </w:numPr>
        <w:spacing w:after="60" w:line="264"/>
        <w:jc w:val="both"/>
      </w:pPr>
      <w:r>
        <w:rPr>
          <w:b/>
          <w:bCs/>
        </w:rPr>
        <w:t xml:space="preserve">Ingreso</w:t>
      </w:r>
      <w:r>
        <w:t xml:space="preserve">: quienes salen ganan menos, pero ingreso, edad, antigüedad y cargo se mueven juntos. Con un análisis bivariado no se puede saber si pesa el sueldo o el hecho de estar empezando la carrera.</w:t>
      </w:r>
    </w:p>
    <w:p>
      <w:pPr>
        <w:pStyle w:val="ListParagraph"/>
        <w:numPr>
          <w:ilvl w:val="0"/>
          <w:numId w:val="2"/>
        </w:numPr>
        <w:spacing w:after="60" w:line="264"/>
        <w:jc w:val="both"/>
      </w:pPr>
      <w:r>
        <w:rPr>
          <w:b/>
          <w:bCs/>
        </w:rPr>
        <w:t xml:space="preserve">Satisfacción laboral</w:t>
      </w:r>
      <w:r>
        <w:t xml:space="preserve">: la salida baja de 22,8 % en el nivel 1 a 11,3 % en el nivel 4. La relación existe, pero es la más débil de las cuatro.</w:t>
      </w:r>
    </w:p>
    <w:p>
      <w:pPr>
        <w:spacing w:after="120" w:before="0" w:line="264"/>
        <w:jc w:val="both"/>
      </w:pPr>
      <w:r>
        <w:t xml:space="preserve">Como decisión bajo incertidumbre, si hubiera que priorizar recursos de retención con esta evidencia, los primeros candidatos serían quienes hacen horas extra y quienes están en sus primeros dos años. Incluso el extremo bajo del intervalo (15 puntos más de salida con horas extra) justifica revisar la carga de trabajo antes que cualquier otra medida. Esto es una hipótesis de trabajo y no una política.</w:t>
      </w:r>
    </w:p>
    <w:p>
      <w:pPr>
        <w:spacing w:after="120" w:before="0" w:line="264"/>
        <w:jc w:val="both"/>
      </w:pPr>
      <w:r>
        <w:rPr>
          <w:b/>
          <w:bCs/>
        </w:rPr>
        <w:t xml:space="preserve">Limitaciones.</w:t>
      </w:r>
      <w:r>
        <w:t xml:space="preserve"> Los datos son sintéticos y no informan período, así que no hay tasa anual. Todas las asociaciones son bivariadas y no prueban causalidad: las horas extra podrían concentrarse en cargos con más salida por otras razones. Los intervalos suponen que los registros son una muestra independiente. Para las fases siguientes quedan tres tareas: separar variables que se mueven juntas con regresión logística, evaluar modelos con métricas sensibles a la clase minoritaria (16 %) e imputar los faltantes generados, comparando contra los valores reservados.</w:t>
      </w:r>
    </w:p>
    <w:p>
      <w:pPr>
        <w:pStyle w:val="Heading1"/>
        <w:keepNext/>
        <w:spacing w:after="100" w:before="200"/>
      </w:pPr>
      <w:r>
        <w:t xml:space="preserve">7. Presentación formal del informe</w:t>
      </w:r>
    </w:p>
    <w:p>
      <w:pPr>
        <w:spacing w:after="120" w:before="0" w:line="264"/>
        <w:jc w:val="both"/>
      </w:pPr>
      <w:r>
        <w:t xml:space="preserve">El informe usa registro formal y lenguaje estadístico preciso (estimación puntual, intervalo de confianza, valor </w:t>
      </w:r>
      <w:r>
        <w:rPr>
          <w:i/>
          <w:iCs/>
        </w:rPr>
        <w:t xml:space="preserve">p</w:t>
      </w:r>
      <w:r>
        <w:t xml:space="preserve">, nivel de significancia, tamaño del efecto). Las cifras usan coma decimal; tablas y figuras están numeradas y se citan en el texto, y todas provienen del cuaderno. El PDF tiene un máximo de ocho páginas y se sube a Canvas.</w:t>
      </w:r>
    </w:p>
    <w:p>
      <w:pPr>
        <w:pStyle w:val="Heading1"/>
        <w:keepNext/>
        <w:spacing w:after="100" w:before="200"/>
      </w:pPr>
      <w:r>
        <w:t xml:space="preserve">8. Participación en el foro</w:t>
      </w:r>
    </w:p>
    <w:p>
      <w:pPr>
        <w:spacing w:after="120" w:before="0" w:line="264"/>
        <w:jc w:val="both"/>
      </w:pPr>
      <w:r>
        <w:t xml:space="preserve">Aporte inicial publicado en el foro de la semana. </w:t>
      </w:r>
      <w:r>
        <w:rPr>
          <w:i/>
          <w:iCs/>
        </w:rPr>
        <w:t xml:space="preserve">Asunto: Ficha descriptiva – IBM HR Employee Attrition.</w:t>
      </w:r>
      <w:r>
        <w:t xml:space="preserve"> Trabajamos con 1.470 registros sintéticos de empleados (16 % de salida) para ver qué se asocia con la rotación. Lo que encontramos: (1) quienes hacen horas extra salen casi tres veces más (30,5 % frente a 10,4 %); (2) la salida se concentra en los dos primeros años (29,8 %); (3) ingreso y antigüedad son muy asimétricos, así que usamos la mediana para describirlos y Welch, con Mann-Whitney como respaldo, para compararlos. Dejamos una pregunta: ingreso, edad y antigüedad se mueven juntos. ¿Cómo lo están abordando en sus datasets antes de llegar a la regresión?</w:t>
      </w:r>
    </w:p>
    <w:p>
      <w:pPr>
        <w:pStyle w:val="Heading1"/>
        <w:keepNext/>
        <w:spacing w:after="100" w:before="200"/>
      </w:pPr>
      <w:r>
        <w:t xml:space="preserve">Referencias</w:t>
      </w:r>
    </w:p>
    <w:p>
      <w:pPr>
        <w:spacing w:after="60"/>
        <w:ind w:left="567" w:hanging="567"/>
        <w:jc w:val="left"/>
      </w:pPr>
      <w:r>
        <w:rPr>
          <w:sz w:val="20"/>
          <w:szCs w:val="20"/>
        </w:rPr>
        <w:t xml:space="preserve">Cohen, J. (1988). </w:t>
      </w:r>
      <w:r>
        <w:rPr>
          <w:i/>
          <w:iCs/>
          <w:sz w:val="20"/>
          <w:szCs w:val="20"/>
        </w:rPr>
        <w:t xml:space="preserve">Statistical power analysis for the behavioral sciences</w:t>
      </w:r>
      <w:r>
        <w:rPr>
          <w:sz w:val="20"/>
          <w:szCs w:val="20"/>
        </w:rPr>
        <w:t xml:space="preserve"> (2.ª ed.). Lawrence Erlbaum.</w:t>
      </w:r>
    </w:p>
    <w:p>
      <w:pPr>
        <w:spacing w:after="60"/>
        <w:ind w:left="567" w:hanging="567"/>
        <w:jc w:val="left"/>
      </w:pPr>
      <w:r>
        <w:rPr>
          <w:sz w:val="20"/>
          <w:szCs w:val="20"/>
        </w:rPr>
        <w:t xml:space="preserve">Maidana, J. P. (2026). </w:t>
      </w:r>
      <w:r>
        <w:rPr>
          <w:i/>
          <w:iCs/>
          <w:sz w:val="20"/>
          <w:szCs w:val="20"/>
        </w:rPr>
        <w:t xml:space="preserve">Bases de datos disponibles para el proyecto del curso</w:t>
      </w:r>
      <w:r>
        <w:rPr>
          <w:sz w:val="20"/>
          <w:szCs w:val="20"/>
        </w:rPr>
        <w:t xml:space="preserve"> [Apunte]. Universidad Andrés Bello.</w:t>
      </w:r>
    </w:p>
    <w:p>
      <w:pPr>
        <w:spacing w:after="60"/>
        <w:ind w:left="567" w:hanging="567"/>
        <w:jc w:val="left"/>
      </w:pPr>
      <w:r>
        <w:rPr>
          <w:sz w:val="20"/>
          <w:szCs w:val="20"/>
        </w:rPr>
        <w:t xml:space="preserve">Maidana, J. P. (2026, 6 de octubre). </w:t>
      </w:r>
      <w:r>
        <w:rPr>
          <w:i/>
          <w:iCs/>
          <w:sz w:val="20"/>
          <w:szCs w:val="20"/>
        </w:rPr>
        <w:t xml:space="preserve">Semana 1: Inicio del Proyecto ABP</w:t>
      </w:r>
      <w:r>
        <w:rPr>
          <w:sz w:val="20"/>
          <w:szCs w:val="20"/>
        </w:rPr>
        <w:t xml:space="preserve"> [Diapositivas]. Universidad Andrés Bello.</w:t>
      </w:r>
    </w:p>
    <w:p>
      <w:pPr>
        <w:spacing w:after="60"/>
        <w:ind w:left="567" w:hanging="567"/>
        <w:jc w:val="left"/>
      </w:pPr>
      <w:r>
        <w:rPr>
          <w:sz w:val="20"/>
          <w:szCs w:val="20"/>
        </w:rPr>
        <w:t xml:space="preserve">McKinney, W. (2010). Data structures for statistical computing in Python. </w:t>
      </w:r>
      <w:r>
        <w:rPr>
          <w:i/>
          <w:iCs/>
          <w:sz w:val="20"/>
          <w:szCs w:val="20"/>
        </w:rPr>
        <w:t xml:space="preserve">Proceedings of the 9th Python in Science Conference</w:t>
      </w:r>
      <w:r>
        <w:rPr>
          <w:sz w:val="20"/>
          <w:szCs w:val="20"/>
        </w:rPr>
        <w:t xml:space="preserve">, 56–61.</w:t>
      </w:r>
    </w:p>
    <w:p>
      <w:pPr>
        <w:spacing w:after="60"/>
        <w:ind w:left="567" w:hanging="567"/>
        <w:jc w:val="left"/>
      </w:pPr>
      <w:r>
        <w:rPr>
          <w:sz w:val="20"/>
          <w:szCs w:val="20"/>
        </w:rPr>
        <w:t xml:space="preserve">pavansubhasht. (s. f.). </w:t>
      </w:r>
      <w:r>
        <w:rPr>
          <w:i/>
          <w:iCs/>
          <w:sz w:val="20"/>
          <w:szCs w:val="20"/>
        </w:rPr>
        <w:t xml:space="preserve">IBM HR Analytics Employee Attrition &amp; Performance</w:t>
      </w:r>
      <w:r>
        <w:rPr>
          <w:sz w:val="20"/>
          <w:szCs w:val="20"/>
        </w:rPr>
        <w:t xml:space="preserve"> [Conjunto de datos]. Kaggle. https://www.kaggle.com/datasets/pavansubhasht/ibm-hr-analytics-attrition-dataset</w:t>
      </w:r>
    </w:p>
    <w:p>
      <w:pPr>
        <w:spacing w:after="60"/>
        <w:ind w:left="567" w:hanging="567"/>
        <w:jc w:val="left"/>
      </w:pPr>
      <w:r>
        <w:rPr>
          <w:sz w:val="20"/>
          <w:szCs w:val="20"/>
        </w:rPr>
        <w:t xml:space="preserve">Virtanen, P., et al. (2020). SciPy 1.0: Fundamental algorithms for scientific computing in Python. </w:t>
      </w:r>
      <w:r>
        <w:rPr>
          <w:i/>
          <w:iCs/>
          <w:sz w:val="20"/>
          <w:szCs w:val="20"/>
        </w:rPr>
        <w:t xml:space="preserve">Nature Methods, 17</w:t>
      </w:r>
      <w:r>
        <w:rPr>
          <w:sz w:val="20"/>
          <w:szCs w:val="20"/>
        </w:rPr>
        <w:t xml:space="preserve">, 261–272.</w:t>
      </w:r>
    </w:p>
    <w:p>
      <w:pPr>
        <w:spacing w:after="60"/>
        <w:ind w:left="567" w:hanging="567"/>
        <w:jc w:val="left"/>
      </w:pPr>
      <w:r>
        <w:rPr>
          <w:sz w:val="20"/>
          <w:szCs w:val="20"/>
        </w:rPr>
        <w:t xml:space="preserve">Wilson, E. B. (1927). Probable inference, the law of succession, and statistical inference. </w:t>
      </w:r>
      <w:r>
        <w:rPr>
          <w:i/>
          <w:iCs/>
          <w:sz w:val="20"/>
          <w:szCs w:val="20"/>
        </w:rPr>
        <w:t xml:space="preserve">Journal of the American Statistical Association, 22</w:t>
      </w:r>
      <w:r>
        <w:rPr>
          <w:sz w:val="20"/>
          <w:szCs w:val="20"/>
        </w:rPr>
        <w:t xml:space="preserve">(158), 209–212.</w:t>
      </w:r>
    </w:p>
    <w:sectPr>
      <w:headerReference w:type="default" r:id="rId7"/>
      <w:headerReference w:type="first" r:id="rId8"/>
      <w:footerReference w:type="default" r:id="rId9"/>
      <w:footerReference w:type="first" r:id="rId10"/>
      <w:pgSz w:w="12240" w:h="15840" w:orient="portrait"/>
      <w:pgMar w:top="936" w:right="1080" w:bottom="1300" w:left="1080" w:header="720" w:footer="720" w:gutter="0"/>
      <w:pgNumType w:start="0"/>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drawing>
        <wp:anchor distT="0" distB="0" distL="0" distR="0" simplePos="0" allowOverlap="1" behindDoc="1" locked="0" layoutInCell="1" relativeHeight="428625">
          <wp:simplePos x="0" y="0"/>
          <wp:positionH relativeFrom="page">
            <wp:posOffset>518160</wp:posOffset>
          </wp:positionH>
          <wp:positionV relativeFrom="page">
            <wp:posOffset>9174480</wp:posOffset>
          </wp:positionV>
          <wp:extent cx="6734175" cy="428625"/>
          <wp:effectExtent t="0" r="0" b="0" l="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6734175" cy="428625"/>
                  </a:xfrm>
                  <a:prstGeom prst="rect">
                    <a:avLst/>
                  </a:prstGeom>
                </pic:spPr>
              </pic:pic>
            </a:graphicData>
          </a:graphic>
        </wp:anchor>
      </w:drawing>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sz w:val="22"/>
        <w:szCs w:val="22"/>
      </w:rPr>
      <w:fldChar w:fldCharType="begin"/>
      <w:instrText xml:space="preserve">PAGE</w:instrText>
      <w:fldChar w:fldCharType="separate"/>
      <w:fldChar w:fldCharType="end"/>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drawing>
        <wp:anchor distT="0" distB="0" distL="0" distR="0" simplePos="0" allowOverlap="1" behindDoc="1" locked="0" layoutInCell="1" relativeHeight="171450">
          <wp:simplePos x="0" y="0"/>
          <wp:positionH relativeFrom="page">
            <wp:posOffset>655320</wp:posOffset>
          </wp:positionH>
          <wp:positionV relativeFrom="page">
            <wp:posOffset>426720</wp:posOffset>
          </wp:positionV>
          <wp:extent cx="6753225" cy="171450"/>
          <wp:effectExtent t="0" r="0" b="0" l="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6753225" cy="171450"/>
                  </a:xfrm>
                  <a:prstGeom prst="rect">
                    <a:avLst/>
                  </a:prstGeom>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4E79"/>
      <w:sz w:val="30"/>
      <w:szCs w:val="30"/>
    </w:rPr>
  </w:style>
  <w:style w:type="paragraph" w:styleId="Heading2">
    <w:name w:val="Heading 2"/>
    <w:basedOn w:val="Normal"/>
    <w:next w:val="Normal"/>
    <w:qFormat/>
    <w:pPr>
      <w:outlineLvl w:val="1"/>
    </w:pPr>
    <w:rPr>
      <w:rFonts w:ascii="Calibri" w:cs="Calibri" w:eastAsia="Calibri" w:hAnsi="Calibri"/>
      <w:b/>
      <w:bCs/>
      <w:color w:val="A61C2D"/>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7d01d23ddaac1c6d5df2ae80bbc4b404793e7735.png"/><Relationship Id="rId12" Type="http://schemas.openxmlformats.org/officeDocument/2006/relationships/image" Target="media/92f25679fce4b2a59f0831cff1b2f91ff1e183fd.png"/><Relationship Id="rId13" Type="http://schemas.openxmlformats.org/officeDocument/2006/relationships/image" Target="media/3efbcb1293acf379366dd0344ffd309530f3bff9.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Relationship Id="rId0" Type="http://schemas.openxmlformats.org/officeDocument/2006/relationships/image" Target="media/d3dfecac634dd0bcb7b6c6db1f601e7cc5ea4ab3.png"/></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Relationship Id="rId0" Type="http://schemas.openxmlformats.org/officeDocument/2006/relationships/image" Target="media/3d6583941a07bf2652d4d8a7d832178206329604.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Formativa 1 – IBM HR Employee Attrition</dc:title>
  <dc:creator>Hernán Saavedra González, Lenin Morales Salas, Rodrigo Gómez Indellicati</dc:creator>
  <cp:lastModifiedBy>Un-named</cp:lastModifiedBy>
  <cp:revision>1</cp:revision>
  <dcterms:created xsi:type="dcterms:W3CDTF">2026-10-09T02:02:20.449Z</dcterms:created>
  <dcterms:modified xsi:type="dcterms:W3CDTF">2026-10-09T02:02:20.450Z</dcterms:modified>
</cp:coreProperties>
</file>

<file path=docProps/custom.xml><?xml version="1.0" encoding="utf-8"?>
<Properties xmlns="http://schemas.openxmlformats.org/officeDocument/2006/custom-properties" xmlns:vt="http://schemas.openxmlformats.org/officeDocument/2006/docPropsVTypes"/>
</file>