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2.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Moretti</w:t>
      </w:r>
      <w:r>
        <w:t xml:space="preserve"> </w:t>
      </w:r>
      <w:r>
        <w:t xml:space="preserve">Test</w:t>
      </w:r>
      <w:r>
        <w:t xml:space="preserve"> </w:t>
      </w:r>
      <w:r>
        <w:t xml:space="preserve">Prep</w:t>
      </w:r>
      <w:r>
        <w:t xml:space="preserve"> </w:t>
      </w:r>
      <w:r>
        <w:t xml:space="preserve">&amp;</w:t>
      </w:r>
      <w:r>
        <w:t xml:space="preserve"> </w:t>
      </w:r>
      <w:r>
        <w:t xml:space="preserve">Tutoring</w:t>
      </w:r>
      <w:r>
        <w:t xml:space="preserve"> </w:t>
      </w:r>
      <w:r>
        <w:t xml:space="preserve">—</w:t>
      </w:r>
      <w:r>
        <w:t xml:space="preserve"> </w:t>
      </w:r>
      <w:r>
        <w:t xml:space="preserve">Brand</w:t>
      </w:r>
      <w:r>
        <w:t xml:space="preserve"> </w:t>
      </w:r>
      <w:r>
        <w:t xml:space="preserve">Guide</w:t>
      </w:r>
    </w:p>
    <w:p>
      <w:pPr>
        <w:pStyle w:val="Heading1"/>
      </w:pPr>
      <w:bookmarkStart w:id="20" w:name="logo"/>
      <w:r>
        <w:t xml:space="preserve">Logo</w:t>
      </w:r>
      <w:bookmarkEnd w:id="20"/>
    </w:p>
    <w:p>
      <w:pPr>
        <w:pStyle w:val="FirstParagraph"/>
      </w:pPr>
      <w:r>
        <w:t xml:space="preserve">The primary lockup pairs the target mark with the Caladea wordmark. Use the dark version on light backgrounds (cream, white) and the reversed white version on red or other dark backgrounds. Always preserve clear space around the mark roughly equal to the height of the target icon, and never stretch, recolor, or add effects to the logo.</w:t>
      </w:r>
    </w:p>
    <w:p>
      <w:pPr>
        <w:pStyle w:val="BodyText"/>
      </w:pPr>
      <w:r>
        <w:rPr>
          <w:b/>
        </w:rPr>
        <w:t xml:space="preserve">On light backgrounds</w:t>
      </w:r>
    </w:p>
    <w:p>
      <w:pPr>
        <w:pStyle w:val="BodyText"/>
      </w:pPr>
      <w:r>
        <w:drawing>
          <wp:inline>
            <wp:extent cx="3108960" cy="775996"/>
            <wp:effectExtent b="0" l="0" r="0" t="0"/>
            <wp:docPr descr="" title="" id="1" name="Picture"/>
            <a:graphic>
              <a:graphicData uri="http://schemas.openxmlformats.org/drawingml/2006/picture">
                <pic:pic>
                  <pic:nvPicPr>
                    <pic:cNvPr descr="logo-caladea-dark.png" id="0" name="Picture"/>
                    <pic:cNvPicPr>
                      <a:picLocks noChangeArrowheads="1" noChangeAspect="1"/>
                    </pic:cNvPicPr>
                  </pic:nvPicPr>
                  <pic:blipFill>
                    <a:blip r:embed="rId21"/>
                    <a:stretch>
                      <a:fillRect/>
                    </a:stretch>
                  </pic:blipFill>
                  <pic:spPr bwMode="auto">
                    <a:xfrm>
                      <a:off x="0" y="0"/>
                      <a:ext cx="3108960" cy="775996"/>
                    </a:xfrm>
                    <a:prstGeom prst="rect">
                      <a:avLst/>
                    </a:prstGeom>
                    <a:noFill/>
                    <a:ln w="9525">
                      <a:noFill/>
                      <a:headEnd/>
                      <a:tailEnd/>
                    </a:ln>
                  </pic:spPr>
                </pic:pic>
              </a:graphicData>
            </a:graphic>
          </wp:inline>
        </w:drawing>
      </w:r>
    </w:p>
    <w:p>
      <w:pPr>
        <w:pStyle w:val="BodyText"/>
      </w:pPr>
      <w:r>
        <w:rPr>
          <w:b/>
        </w:rPr>
        <w:t xml:space="preserve">On dark / red backgrounds</w:t>
      </w:r>
      <w:r>
        <w:t xml:space="preserve"> </w:t>
      </w:r>
      <w:r>
        <w:t xml:space="preserve">— shown here on the brand red (#B0271C)</w:t>
      </w:r>
    </w:p>
    <w:p>
      <w:pPr>
        <w:pStyle w:val="BodyText"/>
      </w:pPr>
      <w:r>
        <w:drawing>
          <wp:inline>
            <wp:extent cx="3108960" cy="948808"/>
            <wp:effectExtent b="0" l="0" r="0" t="0"/>
            <wp:docPr descr="" title="" id="1" name="Picture"/>
            <a:graphic>
              <a:graphicData uri="http://schemas.openxmlformats.org/drawingml/2006/picture">
                <pic:pic>
                  <pic:nvPicPr>
                    <pic:cNvPr descr="logo-on-red.png" id="0" name="Picture"/>
                    <pic:cNvPicPr>
                      <a:picLocks noChangeArrowheads="1" noChangeAspect="1"/>
                    </pic:cNvPicPr>
                  </pic:nvPicPr>
                  <pic:blipFill>
                    <a:blip r:embed="rId22"/>
                    <a:stretch>
                      <a:fillRect/>
                    </a:stretch>
                  </pic:blipFill>
                  <pic:spPr bwMode="auto">
                    <a:xfrm>
                      <a:off x="0" y="0"/>
                      <a:ext cx="3108960" cy="948808"/>
                    </a:xfrm>
                    <a:prstGeom prst="rect">
                      <a:avLst/>
                    </a:prstGeom>
                    <a:noFill/>
                    <a:ln w="9525">
                      <a:noFill/>
                      <a:headEnd/>
                      <a:tailEnd/>
                    </a:ln>
                  </pic:spPr>
                </pic:pic>
              </a:graphicData>
            </a:graphic>
          </wp:inline>
        </w:drawing>
      </w:r>
    </w:p>
    <w:p>
      <w:pPr>
        <w:pStyle w:val="BodyText"/>
      </w:pPr>
      <w:r>
        <w:rPr>
          <w:b/>
        </w:rPr>
        <w:t xml:space="preserve">Icon mark</w:t>
      </w:r>
      <w:r>
        <w:t xml:space="preserve"> </w:t>
      </w:r>
      <w:r>
        <w:t xml:space="preserve">— used as the favicon and as a standalone symbol</w:t>
      </w:r>
    </w:p>
    <w:p>
      <w:pPr>
        <w:pStyle w:val="BodyText"/>
      </w:pPr>
      <w:r>
        <w:drawing>
          <wp:inline>
            <wp:extent cx="548640" cy="548640"/>
            <wp:effectExtent b="0" l="0" r="0" t="0"/>
            <wp:docPr descr="" title="" id="1" name="Picture"/>
            <a:graphic>
              <a:graphicData uri="http://schemas.openxmlformats.org/drawingml/2006/picture">
                <pic:pic>
                  <pic:nvPicPr>
                    <pic:cNvPr descr="target-icon-white.png" id="0" name="Picture"/>
                    <pic:cNvPicPr>
                      <a:picLocks noChangeArrowheads="1" noChangeAspect="1"/>
                    </pic:cNvPicPr>
                  </pic:nvPicPr>
                  <pic:blipFill>
                    <a:blip r:embed="rId23"/>
                    <a:stretch>
                      <a:fillRect/>
                    </a:stretch>
                  </pic:blipFill>
                  <pic:spPr bwMode="auto">
                    <a:xfrm>
                      <a:off x="0" y="0"/>
                      <a:ext cx="548640" cy="548640"/>
                    </a:xfrm>
                    <a:prstGeom prst="rect">
                      <a:avLst/>
                    </a:prstGeom>
                    <a:noFill/>
                    <a:ln w="9525">
                      <a:noFill/>
                      <a:headEnd/>
                      <a:tailEnd/>
                    </a:ln>
                  </pic:spPr>
                </pic:pic>
              </a:graphicData>
            </a:graphic>
          </wp:inline>
        </w:drawing>
      </w:r>
    </w:p>
    <w:p>
      <w:pPr>
        <w:pStyle w:val="Heading1"/>
      </w:pPr>
      <w:bookmarkStart w:id="24" w:name="color-palette"/>
      <w:r>
        <w:t xml:space="preserve">Color Palette</w:t>
      </w:r>
      <w:bookmarkEnd w:id="24"/>
    </w:p>
    <w:p>
      <w:pPr>
        <w:pStyle w:val="FirstParagraph"/>
      </w:pPr>
      <w:r>
        <w:t xml:space="preserve">A warm, editorial palette: a confident red as the primary brand and action color, a muted gold used sparingly as an accent, and a cream background that keeps the site feeling warm rather than corporate.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Color</w:t>
            </w:r>
          </w:p>
        </w:tc>
        <w:tc>
          <w:tcPr>
            <w:tcBorders>
              <w:bottom w:val="single"/>
            </w:tcBorders>
            <w:vAlign w:val="bottom"/>
          </w:tcPr>
          <w:p>
            <w:pPr>
              <w:pStyle w:val="Compact"/>
              <w:jc w:val="left"/>
            </w:pPr>
            <w:r>
              <w:t xml:space="preserve">Hex</w:t>
            </w:r>
          </w:p>
        </w:tc>
        <w:tc>
          <w:tcPr>
            <w:tcBorders>
              <w:bottom w:val="single"/>
            </w:tcBorders>
            <w:vAlign w:val="bottom"/>
          </w:tcPr>
          <w:p>
            <w:pPr>
              <w:pStyle w:val="Compact"/>
              <w:jc w:val="left"/>
            </w:pPr>
            <w:r>
              <w:t xml:space="preserve">Usage</w:t>
            </w:r>
          </w:p>
        </w:tc>
      </w:tr>
      <w:tr>
        <w:tc>
          <w:p>
            <w:pPr>
              <w:pStyle w:val="Compact"/>
              <w:jc w:val="left"/>
            </w:pPr>
            <w:r>
              <w:t xml:space="preserve">Moretti Red</w:t>
            </w:r>
          </w:p>
        </w:tc>
        <w:tc>
          <w:p>
            <w:pPr>
              <w:pStyle w:val="Compact"/>
              <w:jc w:val="left"/>
            </w:pPr>
            <w:r>
              <w:t xml:space="preserve">#B0271C</w:t>
            </w:r>
          </w:p>
        </w:tc>
        <w:tc>
          <w:p>
            <w:pPr>
              <w:pStyle w:val="Compact"/>
              <w:jc w:val="left"/>
            </w:pPr>
            <w:r>
              <w:t xml:space="preserve">Primary brand color. Nav, buttons, links, key stats, CTAs.</w:t>
            </w:r>
          </w:p>
        </w:tc>
      </w:tr>
      <w:tr>
        <w:tc>
          <w:p>
            <w:pPr>
              <w:pStyle w:val="Compact"/>
              <w:jc w:val="left"/>
            </w:pPr>
            <w:r>
              <w:t xml:space="preserve">Gold</w:t>
            </w:r>
          </w:p>
        </w:tc>
        <w:tc>
          <w:p>
            <w:pPr>
              <w:pStyle w:val="Compact"/>
              <w:jc w:val="left"/>
            </w:pPr>
            <w:r>
              <w:t xml:space="preserve">#C9A84C</w:t>
            </w:r>
          </w:p>
        </w:tc>
        <w:tc>
          <w:p>
            <w:pPr>
              <w:pStyle w:val="Compact"/>
              <w:jc w:val="left"/>
            </w:pPr>
            <w:r>
              <w:t xml:space="preserve">Accent only — small numerals, italic labels, shimmer highlights on stats.</w:t>
            </w:r>
          </w:p>
        </w:tc>
      </w:tr>
      <w:tr>
        <w:tc>
          <w:p>
            <w:pPr>
              <w:pStyle w:val="Compact"/>
              <w:jc w:val="left"/>
            </w:pPr>
            <w:r>
              <w:t xml:space="preserve">Cream</w:t>
            </w:r>
          </w:p>
        </w:tc>
        <w:tc>
          <w:p>
            <w:pPr>
              <w:pStyle w:val="Compact"/>
              <w:jc w:val="left"/>
            </w:pPr>
            <w:r>
              <w:t xml:space="preserve">#F7F4EF</w:t>
            </w:r>
          </w:p>
        </w:tc>
        <w:tc>
          <w:p>
            <w:pPr>
              <w:pStyle w:val="Compact"/>
              <w:jc w:val="left"/>
            </w:pPr>
            <w:r>
              <w:t xml:space="preserve">Primary page background — warmer than plain white.</w:t>
            </w:r>
          </w:p>
        </w:tc>
      </w:tr>
      <w:tr>
        <w:tc>
          <w:p>
            <w:pPr>
              <w:pStyle w:val="Compact"/>
              <w:jc w:val="left"/>
            </w:pPr>
            <w:r>
              <w:t xml:space="preserve">Charcoal Text</w:t>
            </w:r>
          </w:p>
        </w:tc>
        <w:tc>
          <w:p>
            <w:pPr>
              <w:pStyle w:val="Compact"/>
              <w:jc w:val="left"/>
            </w:pPr>
            <w:r>
              <w:t xml:space="preserve">#111111</w:t>
            </w:r>
          </w:p>
        </w:tc>
        <w:tc>
          <w:p>
            <w:pPr>
              <w:pStyle w:val="Compact"/>
              <w:jc w:val="left"/>
            </w:pPr>
            <w:r>
              <w:t xml:space="preserve">Body copy and headings on light backgrounds.</w:t>
            </w:r>
          </w:p>
        </w:tc>
      </w:tr>
      <w:tr>
        <w:tc>
          <w:p>
            <w:pPr>
              <w:pStyle w:val="Compact"/>
              <w:jc w:val="left"/>
            </w:pPr>
            <w:r>
              <w:t xml:space="preserve">White</w:t>
            </w:r>
          </w:p>
        </w:tc>
        <w:tc>
          <w:p>
            <w:pPr>
              <w:pStyle w:val="Compact"/>
              <w:jc w:val="left"/>
            </w:pPr>
            <w:r>
              <w:t xml:space="preserve">#FFFFFF</w:t>
            </w:r>
          </w:p>
        </w:tc>
        <w:tc>
          <w:p>
            <w:pPr>
              <w:pStyle w:val="Compact"/>
              <w:jc w:val="left"/>
            </w:pPr>
            <w:r>
              <w:t xml:space="preserve">Reversed logo, text on red/dark backgrounds.</w:t>
            </w:r>
          </w:p>
        </w:tc>
      </w:tr>
    </w:tbl>
    <w:p>
      <w:pPr>
        <w:pStyle w:val="Heading1"/>
      </w:pPr>
      <w:bookmarkStart w:id="25" w:name="typography"/>
      <w:r>
        <w:t xml:space="preserve">Typography</w:t>
      </w:r>
      <w:bookmarkEnd w:id="25"/>
    </w:p>
    <w:p>
      <w:pPr>
        <w:pStyle w:val="FirstParagraph"/>
      </w:pPr>
      <w:r>
        <w:t xml:space="preserve">Two typefaces carry almost everything on the site, with a serif accent reserved for small editorial touches.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Typeface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Used for</w:t>
            </w:r>
          </w:p>
        </w:tc>
      </w:tr>
      <w:tr>
        <w:tc>
          <w:p>
            <w:pPr>
              <w:pStyle w:val="Compact"/>
              <w:jc w:val="left"/>
            </w:pPr>
            <w:r>
              <w:rPr>
                <w:b/>
              </w:rPr>
              <w:t xml:space="preserve">Caladea</w:t>
            </w:r>
            <w:r>
              <w:t xml:space="preserve"> </w:t>
            </w:r>
            <w:r>
              <w:t xml:space="preserve">(bold)</w:t>
            </w:r>
          </w:p>
        </w:tc>
        <w:tc>
          <w:p>
            <w:pPr>
              <w:pStyle w:val="Compact"/>
              <w:jc w:val="left"/>
            </w:pPr>
            <w:r>
              <w:t xml:space="preserve">Headings &amp; Logo</w:t>
            </w:r>
          </w:p>
        </w:tc>
        <w:tc>
          <w:p>
            <w:pPr>
              <w:pStyle w:val="Compact"/>
              <w:jc w:val="left"/>
            </w:pPr>
            <w:r>
              <w:t xml:space="preserve">All H1/H2 headings, section titles, the wordmark.</w:t>
            </w:r>
          </w:p>
        </w:tc>
      </w:tr>
      <w:tr>
        <w:tc>
          <w:p>
            <w:pPr>
              <w:pStyle w:val="Compact"/>
              <w:jc w:val="left"/>
            </w:pPr>
            <w:r>
              <w:t xml:space="preserve">Poppins (light–bold)</w:t>
            </w:r>
          </w:p>
        </w:tc>
        <w:tc>
          <w:p>
            <w:pPr>
              <w:pStyle w:val="Compact"/>
              <w:jc w:val="left"/>
            </w:pPr>
            <w:r>
              <w:t xml:space="preserve">Body &amp; UI</w:t>
            </w:r>
          </w:p>
        </w:tc>
        <w:tc>
          <w:p>
            <w:pPr>
              <w:pStyle w:val="Compact"/>
              <w:jc w:val="left"/>
            </w:pPr>
            <w:r>
              <w:t xml:space="preserve">Body copy, navigation, buttons, forms — weights 300 through 700.</w:t>
            </w:r>
          </w:p>
        </w:tc>
      </w:tr>
      <w:tr>
        <w:tc>
          <w:p>
            <w:pPr>
              <w:pStyle w:val="Compact"/>
              <w:jc w:val="left"/>
            </w:pPr>
            <w:r>
              <w:rPr>
                <w:i/>
              </w:rPr>
              <w:t xml:space="preserve">Georgia (serif, italic)</w:t>
            </w:r>
          </w:p>
        </w:tc>
        <w:tc>
          <w:p>
            <w:pPr>
              <w:pStyle w:val="Compact"/>
              <w:jc w:val="left"/>
            </w:pPr>
            <w:r>
              <w:t xml:space="preserve">Small accents</w:t>
            </w:r>
          </w:p>
        </w:tc>
        <w:tc>
          <w:p>
            <w:pPr>
              <w:pStyle w:val="Compact"/>
              <w:jc w:val="left"/>
            </w:pPr>
            <w:r>
              <w:t xml:space="preserve">Step numerals (</w:t>
            </w:r>
            <w:r>
              <w:t xml:space="preserve">“</w:t>
            </w:r>
            <w:r>
              <w:t xml:space="preserve">01,</w:t>
            </w:r>
            <w:r>
              <w:t xml:space="preserve">”</w:t>
            </w:r>
            <w:r>
              <w:t xml:space="preserve"> </w:t>
            </w:r>
            <w:r>
              <w:t xml:space="preserve">“</w:t>
            </w:r>
            <w:r>
              <w:t xml:space="preserve">02</w:t>
            </w:r>
            <w:r>
              <w:t xml:space="preserve">”</w:t>
            </w:r>
            <w:r>
              <w:t xml:space="preserve">…), pull-quotes, phone numbers — small editorial flourishes only.</w:t>
            </w:r>
          </w:p>
        </w:tc>
      </w:tr>
    </w:tbl>
    <w:p>
      <w:pPr>
        <w:pStyle w:val="BodyText"/>
      </w:pPr>
      <w:r>
        <w:rPr>
          <w:i/>
        </w:rPr>
        <w:t xml:space="preserve">Note: the homepage’s</w:t>
      </w:r>
      <w:r>
        <w:rPr>
          <w:i/>
        </w:rPr>
        <w:t xml:space="preserve"> </w:t>
      </w:r>
      <w:r>
        <w:rPr>
          <w:i/>
        </w:rPr>
        <w:t xml:space="preserve">“</w:t>
      </w:r>
      <w:r>
        <w:rPr>
          <w:i/>
        </w:rPr>
        <w:t xml:space="preserve">EXPLORE</w:t>
      </w:r>
      <w:r>
        <w:rPr>
          <w:i/>
        </w:rPr>
        <w:t xml:space="preserve">”</w:t>
      </w:r>
      <w:r>
        <w:rPr>
          <w:i/>
        </w:rPr>
        <w:t xml:space="preserve"> </w:t>
      </w:r>
      <w:r>
        <w:rPr>
          <w:i/>
        </w:rPr>
        <w:t xml:space="preserve">hero moment uses a separate, heavier display face as a one-off cinematic effect. That treatment is intentionally not part of the general type system — don’t reuse it for headings or body text elsewhere.</w:t>
      </w:r>
    </w:p>
    <w:p>
      <w:pPr>
        <w:pStyle w:val="Heading1"/>
      </w:pPr>
      <w:bookmarkStart w:id="26" w:name="voice-tone"/>
      <w:r>
        <w:t xml:space="preserve">Voice &amp; Tone</w:t>
      </w:r>
      <w:bookmarkEnd w:id="26"/>
    </w:p>
    <w:p>
      <w:pPr>
        <w:pStyle w:val="FirstParagraph"/>
      </w:pPr>
      <w:r>
        <w:t xml:space="preserve">Direct and confident, never salesy. Claims are backed by specific numbers rather than vague superlatives, and every program is anchored to a concrete guarantee.</w:t>
      </w:r>
    </w:p>
    <w:p>
      <w:pPr>
        <w:numPr>
          <w:ilvl w:val="0"/>
          <w:numId w:val="1001"/>
        </w:numPr>
        <w:pStyle w:val="Compact"/>
      </w:pPr>
      <w:r>
        <w:t xml:space="preserve">Lead with outcomes and specifics —</w:t>
      </w:r>
      <w:r>
        <w:t xml:space="preserve"> </w:t>
      </w:r>
      <w:r>
        <w:t xml:space="preserve">“</w:t>
      </w:r>
      <w:r>
        <w:t xml:space="preserve">+1500 SAT,</w:t>
      </w:r>
      <w:r>
        <w:t xml:space="preserve">”</w:t>
      </w:r>
      <w:r>
        <w:t xml:space="preserve"> </w:t>
      </w:r>
      <w:r>
        <w:t xml:space="preserve">“</w:t>
      </w:r>
      <w:r>
        <w:t xml:space="preserve">+34 ACT,</w:t>
      </w:r>
      <w:r>
        <w:t xml:space="preserve">”</w:t>
      </w:r>
      <w:r>
        <w:t xml:space="preserve"> </w:t>
      </w:r>
      <w:r>
        <w:t xml:space="preserve">“</w:t>
      </w:r>
      <w:r>
        <w:t xml:space="preserve">36% average increase</w:t>
      </w:r>
      <w:r>
        <w:t xml:space="preserve">”</w:t>
      </w:r>
      <w:r>
        <w:t xml:space="preserve"> </w:t>
      </w:r>
      <w:r>
        <w:t xml:space="preserve">— not</w:t>
      </w:r>
      <w:r>
        <w:t xml:space="preserve"> </w:t>
      </w:r>
      <w:r>
        <w:t xml:space="preserve">“</w:t>
      </w:r>
      <w:r>
        <w:t xml:space="preserve">great results.</w:t>
      </w:r>
      <w:r>
        <w:t xml:space="preserve">”</w:t>
      </w:r>
    </w:p>
    <w:p>
      <w:pPr>
        <w:numPr>
          <w:ilvl w:val="0"/>
          <w:numId w:val="1001"/>
        </w:numPr>
        <w:pStyle w:val="Compact"/>
      </w:pPr>
      <w:r>
        <w:t xml:space="preserve">“</w:t>
      </w:r>
      <w:r>
        <w:t xml:space="preserve">The Moretti Method</w:t>
      </w:r>
      <w:r>
        <w:t xml:space="preserve">”</w:t>
      </w:r>
      <w:r>
        <w:t xml:space="preserve"> </w:t>
      </w:r>
      <w:r>
        <w:t xml:space="preserve">is the one proper-noun brand term — capitalize it consistently across all materials.</w:t>
      </w:r>
    </w:p>
    <w:p>
      <w:pPr>
        <w:numPr>
          <w:ilvl w:val="0"/>
          <w:numId w:val="1001"/>
        </w:numPr>
        <w:pStyle w:val="Compact"/>
      </w:pPr>
      <w:r>
        <w:t xml:space="preserve">The guarantee is a recurring trust device, not a one-off line: if a student’s score doesn’t improve, tutoring continues free until it does.</w:t>
      </w:r>
    </w:p>
    <w:p>
      <w:pPr>
        <w:numPr>
          <w:ilvl w:val="0"/>
          <w:numId w:val="1001"/>
        </w:numPr>
        <w:pStyle w:val="Compact"/>
      </w:pPr>
      <w:r>
        <w:t xml:space="preserve">Eyebrow labels (small uppercase tags above headings) are letter-spaced and preceded by a small red diamond — used to categorize a section before the headline lands.</w:t>
      </w:r>
    </w:p>
    <w:p>
      <w:pPr>
        <w:numPr>
          <w:ilvl w:val="0"/>
          <w:numId w:val="1001"/>
        </w:numPr>
        <w:pStyle w:val="Compact"/>
      </w:pPr>
      <w:r>
        <w:t xml:space="preserve">Copy is warm but exacting —</w:t>
      </w:r>
      <w:r>
        <w:t xml:space="preserve"> </w:t>
      </w:r>
      <w:r>
        <w:t xml:space="preserve">“</w:t>
      </w:r>
      <w:r>
        <w:t xml:space="preserve">one-on-one, diagnostic, and exact</w:t>
      </w:r>
      <w:r>
        <w:t xml:space="preserve">”</w:t>
      </w:r>
      <w:r>
        <w:t xml:space="preserve"> </w:t>
      </w:r>
      <w:r>
        <w:t xml:space="preserve">is the tone to aim for: personal, never generic.</w:t>
      </w:r>
    </w:p>
    <w:p>
      <w:pPr>
        <w:pStyle w:val="FirstParagraph"/>
      </w:pPr>
      <w:r>
        <w:rPr>
          <w:b/>
        </w:rPr>
        <w:t xml:space="preserve">A few lines pulled directly from the site:</w:t>
      </w:r>
    </w:p>
    <w:p>
      <w:pPr>
        <w:pStyle w:val="BlockText"/>
      </w:pPr>
      <w:r>
        <w:t xml:space="preserve">“</w:t>
      </w:r>
      <w:r>
        <w:t xml:space="preserve">Complete the 12-week program and if your student’s official SAT or ACT score doesn’t improve, we keep teaching them free until it does.</w:t>
      </w:r>
      <w:r>
        <w:t xml:space="preserve">”</w:t>
      </w:r>
    </w:p>
    <w:p>
      <w:pPr>
        <w:pStyle w:val="BlockText"/>
      </w:pPr>
      <w:r>
        <w:t xml:space="preserve">“</w:t>
      </w:r>
      <w:r>
        <w:t xml:space="preserve">A plan built entirely around your child’s pace and foundation — an investment in their ability to score higher.</w:t>
      </w:r>
      <w:r>
        <w:t xml:space="preserve">”</w:t>
      </w:r>
    </w:p>
    <w:p>
      <w:pPr>
        <w:pStyle w:val="BlockText"/>
      </w:pPr>
      <w:r>
        <w:t xml:space="preserve">“</w:t>
      </w:r>
      <w:r>
        <w:t xml:space="preserve">My approach is different: one-on-one, diagnostic, and exact.</w:t>
      </w:r>
      <w:r>
        <w:t xml:space="preserve">”</w:t>
      </w:r>
    </w:p>
    <w:p>
      <w:pPr>
        <w:pStyle w:val="Heading1"/>
      </w:pPr>
      <w:bookmarkStart w:id="27" w:name="business-information"/>
      <w:r>
        <w:t xml:space="preserve">Business Information</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t xml:space="preserve">Business name</w:t>
            </w:r>
          </w:p>
        </w:tc>
        <w:tc>
          <w:p>
            <w:pPr>
              <w:pStyle w:val="Compact"/>
              <w:jc w:val="left"/>
            </w:pPr>
            <w:r>
              <w:t xml:space="preserve">Moretti Test Prep &amp; Tutoring</w:t>
            </w:r>
          </w:p>
        </w:tc>
      </w:tr>
      <w:tr>
        <w:tc>
          <w:p>
            <w:pPr>
              <w:pStyle w:val="Compact"/>
              <w:jc w:val="left"/>
            </w:pPr>
            <w:r>
              <w:t xml:space="preserve">Founder</w:t>
            </w:r>
          </w:p>
        </w:tc>
        <w:tc>
          <w:p>
            <w:pPr>
              <w:pStyle w:val="Compact"/>
              <w:jc w:val="left"/>
            </w:pPr>
            <w:r>
              <w:t xml:space="preserve">Luca Moretti</w:t>
            </w:r>
          </w:p>
        </w:tc>
      </w:tr>
      <w:tr>
        <w:tc>
          <w:p>
            <w:pPr>
              <w:pStyle w:val="Compact"/>
              <w:jc w:val="left"/>
            </w:pPr>
            <w:r>
              <w:t xml:space="preserve">Location</w:t>
            </w:r>
          </w:p>
        </w:tc>
        <w:tc>
          <w:p>
            <w:pPr>
              <w:pStyle w:val="Compact"/>
              <w:jc w:val="left"/>
            </w:pPr>
            <w:r>
              <w:t xml:space="preserve">Cranford, NJ — in person or online</w:t>
            </w:r>
          </w:p>
        </w:tc>
      </w:tr>
      <w:tr>
        <w:tc>
          <w:p>
            <w:pPr>
              <w:pStyle w:val="Compact"/>
              <w:jc w:val="left"/>
            </w:pPr>
            <w:r>
              <w:t xml:space="preserve">Phone</w:t>
            </w:r>
          </w:p>
        </w:tc>
        <w:tc>
          <w:p>
            <w:pPr>
              <w:pStyle w:val="Compact"/>
              <w:jc w:val="left"/>
            </w:pPr>
            <w:r>
              <w:t xml:space="preserve">(201) 275-2791</w:t>
            </w:r>
          </w:p>
        </w:tc>
      </w:tr>
      <w:tr>
        <w:tc>
          <w:p>
            <w:pPr>
              <w:pStyle w:val="Compact"/>
              <w:jc w:val="left"/>
            </w:pPr>
            <w:r>
              <w:t xml:space="preserve">Website</w:t>
            </w:r>
          </w:p>
        </w:tc>
        <w:tc>
          <w:p>
            <w:pPr>
              <w:pStyle w:val="Compact"/>
              <w:jc w:val="left"/>
            </w:pPr>
            <w:r>
              <w:t xml:space="preserve">morettitutoring.com</w:t>
            </w:r>
          </w:p>
        </w:tc>
      </w:tr>
      <w:tr>
        <w:tc>
          <w:p>
            <w:pPr>
              <w:pStyle w:val="Compact"/>
              <w:jc w:val="left"/>
            </w:pPr>
            <w:r>
              <w:t xml:space="preserve">Serving</w:t>
            </w:r>
          </w:p>
        </w:tc>
        <w:tc>
          <w:p>
            <w:pPr>
              <w:pStyle w:val="Compact"/>
              <w:jc w:val="left"/>
            </w:pPr>
            <w:r>
              <w:t xml:space="preserve">Cranford, Westfield, Mountainside, Scotch Plains, Summit, Short Hills, New Providence, Berkeley Heights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Moretti Test Prep &amp; Tutoring — Brand Guide</dc:title>
  <dc:creator/>
  <cp:keywords/>
  <dcterms:created xsi:type="dcterms:W3CDTF">2026-07-14T04:05:19Z</dcterms:created>
  <dcterms:modified xsi:type="dcterms:W3CDTF">2026-07-14T04:05:19Z</dcterms:modified>
</cp:coreProperties>
</file>

<file path=docProps/custom.xml><?xml version="1.0" encoding="utf-8"?>
<Properties xmlns="http://schemas.openxmlformats.org/officeDocument/2006/custom-properties" xmlns:vt="http://schemas.openxmlformats.org/officeDocument/2006/docPropsVTypes"/>
</file>