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CODE BANK</w:t>
      </w:r>
    </w:p>
    <w:p>
      <w:pPr>
        <w:jc w:val="center"/>
      </w:pPr>
      <w:r>
        <w:rPr>
          <w:b/>
          <w:sz w:val="36"/>
        </w:rPr>
        <w:t>Política de Detecção de Fraude</w:t>
      </w:r>
    </w:p>
    <w:p/>
    <w:tbl>
      <w:tblPr>
        <w:tblStyle w:val="TableGrid"/>
        <w:tblW w:type="auto" w:w="0"/>
        <w:tblLook w:firstColumn="1" w:firstRow="1" w:lastColumn="0" w:lastRow="0" w:noHBand="0" w:noVBand="1" w:val="04A0"/>
      </w:tblPr>
      <w:tblGrid>
        <w:gridCol w:w="4320"/>
        <w:gridCol w:w="4320"/>
      </w:tblGrid>
      <w:tr>
        <w:tc>
          <w:tcPr>
            <w:tcW w:type="dxa" w:w="4320"/>
          </w:tcPr>
          <w:p>
            <w:r>
              <w:rPr>
                <w:b/>
              </w:rPr>
              <w:t>Código do documento</w:t>
            </w:r>
          </w:p>
        </w:tc>
        <w:tc>
          <w:tcPr>
            <w:tcW w:type="dxa" w:w="4320"/>
          </w:tcPr>
          <w:p>
            <w:r>
              <w:t>POL-FRAUDE-001</w:t>
            </w:r>
          </w:p>
        </w:tc>
      </w:tr>
      <w:tr>
        <w:tc>
          <w:tcPr>
            <w:tcW w:type="dxa" w:w="4320"/>
          </w:tcPr>
          <w:p>
            <w:r>
              <w:rPr>
                <w:b/>
              </w:rPr>
              <w:t>Versão</w:t>
            </w:r>
          </w:p>
        </w:tc>
        <w:tc>
          <w:tcPr>
            <w:tcW w:type="dxa" w:w="4320"/>
          </w:tcPr>
          <w:p>
            <w:r>
              <w:t>1.1</w:t>
            </w:r>
          </w:p>
        </w:tc>
      </w:tr>
      <w:tr>
        <w:tc>
          <w:tcPr>
            <w:tcW w:type="dxa" w:w="4320"/>
          </w:tcPr>
          <w:p>
            <w:r>
              <w:rPr>
                <w:b/>
              </w:rPr>
              <w:t>Emitido em</w:t>
            </w:r>
          </w:p>
        </w:tc>
        <w:tc>
          <w:tcPr>
            <w:tcW w:type="dxa" w:w="4320"/>
          </w:tcPr>
          <w:p>
            <w:r>
              <w:t>01/06/2026</w:t>
            </w:r>
          </w:p>
        </w:tc>
      </w:tr>
      <w:tr>
        <w:tc>
          <w:tcPr>
            <w:tcW w:type="dxa" w:w="4320"/>
          </w:tcPr>
          <w:p>
            <w:r>
              <w:rPr>
                <w:b/>
              </w:rPr>
              <w:t>Classificação</w:t>
            </w:r>
          </w:p>
        </w:tc>
        <w:tc>
          <w:tcPr>
            <w:tcW w:type="dxa" w:w="4320"/>
          </w:tcPr>
          <w:p>
            <w:r>
              <w:t>Uso Interno</w:t>
            </w:r>
          </w:p>
        </w:tc>
      </w:tr>
      <w:tr>
        <w:tc>
          <w:tcPr>
            <w:tcW w:type="dxa" w:w="4320"/>
          </w:tcPr>
          <w:p>
            <w:r>
              <w:rPr>
                <w:b/>
              </w:rPr>
              <w:t>Área responsável</w:t>
            </w:r>
          </w:p>
        </w:tc>
        <w:tc>
          <w:tcPr>
            <w:tcW w:type="dxa" w:w="4320"/>
          </w:tcPr>
          <w:p>
            <w:r>
              <w:t>Gerência de Risco e Fraude, em conjunto com Compliance</w:t>
            </w:r>
          </w:p>
        </w:tc>
      </w:tr>
    </w:tbl>
    <w:p>
      <w:r>
        <w:br w:type="page"/>
      </w:r>
    </w:p>
    <w:p>
      <w:pPr>
        <w:pStyle w:val="Heading1"/>
      </w:pPr>
      <w:r>
        <w:t>1. Objetivo e Escopo</w:t>
      </w:r>
    </w:p>
    <w:p>
      <w:pPr>
        <w:pStyle w:val="Heading2"/>
      </w:pPr>
      <w:r>
        <w:t>1.1 Objetivo</w:t>
      </w:r>
    </w:p>
    <w:p>
      <w:r>
        <w:t>Esta política estabelece os critérios técnicos, os parâmetros operacionais e a estrutura de responsabilidades utilizados pelo Code Bank para identificar, classificar, conter e responder a indícios de fraude em transações de clientes Pessoa Física. Ela define o funcionamento do motor de score de risco de fraude (Code Shield), as regras de bloqueio automático, os critérios de exceção e whitelist, e as alçadas de liberação manual de bloqueios.</w:t>
      </w:r>
    </w:p>
    <w:p>
      <w:r>
        <w:t>Esta política é de uso interno e de observância obrigatória por todas as áreas envolvidas na jornada de prevenção a fraudes do Code Bank, da linha de frente de Atendimento à Gerência de Risco e Fraude e ao Comitê de Risco e Fraude. O descumprimento dos critérios aqui estabelecidos, incluindo a liberação de bloqueios fora da alçada do colaborador responsável, constitui desvio de conduta operacional sujeito às medidas disponíveis na política interna de conduta do Code Bank.</w:t>
      </w:r>
    </w:p>
    <w:p>
      <w:pPr>
        <w:pStyle w:val="Heading2"/>
      </w:pPr>
      <w:r>
        <w:t>1.2 Escopo</w:t>
      </w:r>
    </w:p>
    <w:p>
      <w:r>
        <w:t>Esta política cobre exclusivamente a avaliação de risco de fraude transacional de clientes Pessoa Física (PF), correntistas de qualquer um dos produtos de conta oferecidos pelo Code Bank (Documento 5 – Política de Contas, Taxas e Cartões). Estão fora do escopo desta política:</w:t>
      </w:r>
    </w:p>
    <w:p>
      <w:pPr>
        <w:pStyle w:val="ListBullet"/>
      </w:pPr>
      <w:r>
        <w:t>Critérios de concessão de crédito, análise de score de crédito ou aumento de limite de cartão de crédito, regidos por políticas específicas de crédito, não tratadas neste documento;</w:t>
      </w:r>
    </w:p>
    <w:p>
      <w:pPr>
        <w:pStyle w:val="ListBullet"/>
      </w:pPr>
      <w:r>
        <w:t>Clientes Pessoa Jurídica (PJ), uma vez que o Code Bank, na presente fase de operação, atende exclusivamente o segmento Pessoa Física.</w:t>
      </w:r>
    </w:p>
    <w:p>
      <w:r>
        <w:t>O Code Bank opera como instituição 100% digital, sem agências físicas. Consequentemente, todos os fluxos de identificação, bloqueio e liberação descritos nesta política pressupõem canais digitais — aplicativo Code Bank, internet banking e Central de Atendimento (SAC) — não havendo previsão de atendimento presencial em nenhuma etapa do processo.</w:t>
      </w:r>
    </w:p>
    <w:p>
      <w:pPr>
        <w:pStyle w:val="Heading2"/>
      </w:pPr>
      <w:r>
        <w:t>1.3 Público-Alvo</w:t>
      </w:r>
    </w:p>
    <w:p>
      <w:r>
        <w:t>Esta política se aplica, em graus distintos de responsabilidade, a:</w:t>
      </w:r>
    </w:p>
    <w:p>
      <w:pPr>
        <w:pStyle w:val="ListBullet"/>
      </w:pPr>
      <w:r>
        <w:t>Analista de Relacionamento e Supervisor de Atendimento (trilha de Atendimento), responsáveis por identificar indícios de fraude no primeiro contato com o cliente e encaminhá-los corretamente (Seção 3.2);</w:t>
      </w:r>
    </w:p>
    <w:p>
      <w:pPr>
        <w:pStyle w:val="ListBullet"/>
      </w:pPr>
      <w:r>
        <w:t>Analista de Prevenção a Fraudes, Coordenador de Prevenção a Fraudes e Gerente de Risco e Fraude (trilha de Prevenção e Investigação de Fraude), responsáveis pela análise, decisão e liberação de casos dentro de suas respectivas alçadas (Seção 7);</w:t>
      </w:r>
    </w:p>
    <w:p>
      <w:pPr>
        <w:pStyle w:val="ListBullet"/>
      </w:pPr>
      <w:r>
        <w:t>Comitê de Risco e Fraude, instância máxima de decisão para casos excepcionais (Seção 7.2).</w:t>
      </w:r>
    </w:p>
    <w:p>
      <w:r>
        <w:t>Todo colaborador das áreas acima deve confirmar formalmente, por ocasião de seu ingresso na função e a cada nova versão desta política, ciência integral de seu conteúdo.</w:t>
      </w:r>
    </w:p>
    <w:p>
      <w:pPr>
        <w:pStyle w:val="Heading2"/>
      </w:pPr>
      <w:r>
        <w:t>1.4 Princípios Gerais</w:t>
      </w:r>
    </w:p>
    <w:p>
      <w:r>
        <w:t>A aplicação desta política deve observar os seguintes princípios:</w:t>
      </w:r>
    </w:p>
    <w:p>
      <w:pPr>
        <w:pStyle w:val="ListBullet"/>
      </w:pPr>
      <w:r>
        <w:t>Proporcionalidade: o rigor da resposta (bloqueio automático, alerta prioritário ou monitoramento silencioso) deve ser proporcional ao risco estimado, equilibrando a proteção do cliente e do banco contra fraude com a menor fricção possível na experiência de clientes legítimos;</w:t>
      </w:r>
    </w:p>
    <w:p>
      <w:pPr>
        <w:pStyle w:val="ListBullet"/>
      </w:pPr>
      <w:r>
        <w:t>Segregação de funções: nenhum colaborador libera, sozinho, um bloqueio cujo valor exceda sua própria alçada (Seção 7.1), independentemente de julgamento pessoal sobre o caso;</w:t>
      </w:r>
    </w:p>
    <w:p>
      <w:pPr>
        <w:pStyle w:val="ListBullet"/>
      </w:pPr>
      <w:r>
        <w:t>Rastreabilidade: toda decisão de bloqueio, liberação ou exceção deve ser registrada no sistema CodeCase (Documento 2 – Procedimento de Resposta a Incidentes, Seção 1), identificando o responsável e a justificativa.</w:t>
      </w:r>
    </w:p>
    <w:p>
      <w:pPr>
        <w:pStyle w:val="Heading2"/>
      </w:pPr>
      <w:r>
        <w:t>1.5 Canais de Atendimento ao Cliente</w:t>
      </w:r>
    </w:p>
    <w:p>
      <w:r>
        <w:t>O cliente é atendido pela Central de Atendimento (SAC Code Bank — 0800 722 1000), disponível 24 horas por dia, todos os dias, pelo aplicativo, telefone ou chat. Reclamações não resolvidas satisfatoriamente pelo SAC podem ser encaminhadas à Ouvidoria (Ouvidoria Code Bank — 0800 722 1001 / ouvidoria@codebank.com.br), que atende em dias úteis, das 9h às 18h.</w:t>
      </w:r>
    </w:p>
    <w:p>
      <w:pPr>
        <w:pStyle w:val="Heading1"/>
      </w:pPr>
      <w:r>
        <w:t>2. Definições e Documentos Relacionados</w:t>
      </w:r>
    </w:p>
    <w:p>
      <w:pPr>
        <w:pStyle w:val="Heading2"/>
      </w:pPr>
      <w:r>
        <w:t>2.1 Terminologia</w:t>
      </w:r>
    </w:p>
    <w:p>
      <w:r>
        <w:t>Os termos técnicos utilizados nesta política — incluindo, entre outros, chargeback, KYC, scoring, MED, engenharia social, conta laranja, account takeover (ATO) e card not present (CNP) — estão definidos no Documento 4 – Glossário Técnico de Fraude e Produtos Bancários. Este documento não redefine tais termos; em caso de dúvida sobre terminologia, o Documento 4 deve ser consultado como fonte única.</w:t>
      </w:r>
    </w:p>
    <w:p>
      <w:pPr>
        <w:pStyle w:val="Heading2"/>
      </w:pPr>
      <w:r>
        <w:t>2.2 Documentos Relacionados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Documento</w:t>
            </w:r>
          </w:p>
        </w:tc>
        <w:tc>
          <w:tcPr>
            <w:tcW w:type="dxa" w:w="4320"/>
          </w:tcPr>
          <w:p>
            <w:r>
              <w:rPr>
                <w:b/>
              </w:rPr>
              <w:t>Relação com esta política</w:t>
            </w:r>
          </w:p>
        </w:tc>
      </w:tr>
      <w:tr>
        <w:tc>
          <w:tcPr>
            <w:tcW w:type="dxa" w:w="4320"/>
          </w:tcPr>
          <w:p>
            <w:r>
              <w:t>Documento 2 – Procedimento de Resposta a Incidentes</w:t>
            </w:r>
          </w:p>
        </w:tc>
        <w:tc>
          <w:tcPr>
            <w:tcW w:type="dxa" w:w="4320"/>
          </w:tcPr>
          <w:p>
            <w:r>
              <w:t>Detalha o passo a passo operacional a ser seguido a partir da identificação ou escalonamento de um caso sob os critérios desta política, incluindo prazos (SLAs) de abertura, investigação e comunicação ao cliente.</w:t>
            </w:r>
          </w:p>
        </w:tc>
      </w:tr>
      <w:tr>
        <w:tc>
          <w:tcPr>
            <w:tcW w:type="dxa" w:w="4320"/>
          </w:tcPr>
          <w:p>
            <w:r>
              <w:t>Documento 3 – Casos Históricos</w:t>
            </w:r>
          </w:p>
        </w:tc>
        <w:tc>
          <w:tcPr>
            <w:tcW w:type="dxa" w:w="4320"/>
          </w:tcPr>
          <w:p>
            <w:r>
              <w:t>Ilustra, em casos anonimizados, a aplicação prática dos critérios desta política, incluindo exemplos sob a política anterior (Seção 10).</w:t>
            </w:r>
          </w:p>
        </w:tc>
      </w:tr>
      <w:tr>
        <w:tc>
          <w:tcPr>
            <w:tcW w:type="dxa" w:w="4320"/>
          </w:tcPr>
          <w:p>
            <w:r>
              <w:t>Documento 4 – Glossário Técnico de Fraude e Produtos Bancários</w:t>
            </w:r>
          </w:p>
        </w:tc>
        <w:tc>
          <w:tcPr>
            <w:tcW w:type="dxa" w:w="4320"/>
          </w:tcPr>
          <w:p>
            <w:r>
              <w:t>Fonte única das definições dos termos técnicos citados nesta política.</w:t>
            </w:r>
          </w:p>
        </w:tc>
      </w:tr>
      <w:tr>
        <w:tc>
          <w:tcPr>
            <w:tcW w:type="dxa" w:w="4320"/>
          </w:tcPr>
          <w:p>
            <w:r>
              <w:t>Documento 5 – Política de Contas, Taxas e Cartões</w:t>
            </w:r>
          </w:p>
        </w:tc>
        <w:tc>
          <w:tcPr>
            <w:tcW w:type="dxa" w:w="4320"/>
          </w:tcPr>
          <w:p>
            <w:r>
              <w:t>Aplica os critérios de bloqueio por suspeita de fraude desta política (Seções 4 a 6) às transações realizadas com cartão de débito ou crédito, sem redefini-los.</w:t>
            </w:r>
          </w:p>
        </w:tc>
      </w:tr>
    </w:tbl>
    <w:p/>
    <w:p>
      <w:pPr>
        <w:pStyle w:val="Heading2"/>
      </w:pPr>
      <w:r>
        <w:t>2.3 Precedência entre Documentos</w:t>
      </w:r>
    </w:p>
    <w:p>
      <w:r>
        <w:t>Em caso de aparente conflito entre esta política e qualquer um dos documentos relacionados na Seção 2.2, prevalece o critério mais restritivo do ponto de vista de prevenção a fraude, até que a inconsistência seja formalmente corrigida pela Gerência de Risco e Fraude. Inconsistências identificadas devem ser reportadas para correção na auditoria de consistência documental do Code Bank.</w:t>
      </w:r>
    </w:p>
    <w:p>
      <w:pPr>
        <w:pStyle w:val="Heading1"/>
      </w:pPr>
      <w:r>
        <w:t>3. Estrutura Organizacional e Responsabilidades</w:t>
      </w:r>
    </w:p>
    <w:p>
      <w:pPr>
        <w:pStyle w:val="Heading2"/>
      </w:pPr>
      <w:r>
        <w:t>3.1 Trilha de Prevenção e Investigação de Fraude</w:t>
      </w:r>
    </w:p>
    <w:p>
      <w:r>
        <w:t>A prevenção e investigação de fraude é conduzida por uma trilha hierárquica de quatro níveis, com responsabilidades e alçadas crescentes: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Nível</w:t>
            </w:r>
          </w:p>
        </w:tc>
        <w:tc>
          <w:tcPr>
            <w:tcW w:type="dxa" w:w="2880"/>
          </w:tcPr>
          <w:p>
            <w:r>
              <w:rPr>
                <w:b/>
              </w:rPr>
              <w:t>Cargo</w:t>
            </w:r>
          </w:p>
        </w:tc>
        <w:tc>
          <w:tcPr>
            <w:tcW w:type="dxa" w:w="2880"/>
          </w:tcPr>
          <w:p>
            <w:r>
              <w:rPr>
                <w:b/>
              </w:rPr>
              <w:t>Responsabilidade</w:t>
            </w:r>
          </w:p>
        </w:tc>
      </w:tr>
      <w:tr>
        <w:tc>
          <w:tcPr>
            <w:tcW w:type="dxa" w:w="2880"/>
          </w:tcPr>
          <w:p>
            <w:r>
              <w:t>1</w:t>
            </w:r>
          </w:p>
        </w:tc>
        <w:tc>
          <w:tcPr>
            <w:tcW w:type="dxa" w:w="2880"/>
          </w:tcPr>
          <w:p>
            <w:r>
              <w:t>Analista de Prevenção a Fraudes</w:t>
            </w:r>
          </w:p>
        </w:tc>
        <w:tc>
          <w:tcPr>
            <w:tcW w:type="dxa" w:w="2880"/>
          </w:tcPr>
          <w:p>
            <w:r>
              <w:t>Analisa alertas gerados pelo motor de score Code Shield (Seção 4); conduz a investigação inicial; libera ou mantém bloqueios dentro da própria alçada (Seção 7).</w:t>
            </w:r>
          </w:p>
        </w:tc>
      </w:tr>
      <w:tr>
        <w:tc>
          <w:tcPr>
            <w:tcW w:type="dxa" w:w="2880"/>
          </w:tcPr>
          <w:p>
            <w:r>
              <w:t>2</w:t>
            </w:r>
          </w:p>
        </w:tc>
        <w:tc>
          <w:tcPr>
            <w:tcW w:type="dxa" w:w="2880"/>
          </w:tcPr>
          <w:p>
            <w:r>
              <w:t>Coordenador de Prevenção a Fraudes</w:t>
            </w:r>
          </w:p>
        </w:tc>
        <w:tc>
          <w:tcPr>
            <w:tcW w:type="dxa" w:w="2880"/>
          </w:tcPr>
          <w:p>
            <w:r>
              <w:t>Revisa casos escalonados pelo Analista de Prevenção a Fraudes; decide sobre bloqueios de maior valor ou complexidade.</w:t>
            </w:r>
          </w:p>
        </w:tc>
      </w:tr>
      <w:tr>
        <w:tc>
          <w:tcPr>
            <w:tcW w:type="dxa" w:w="2880"/>
          </w:tcPr>
          <w:p>
            <w:r>
              <w:t>3</w:t>
            </w:r>
          </w:p>
        </w:tc>
        <w:tc>
          <w:tcPr>
            <w:tcW w:type="dxa" w:w="2880"/>
          </w:tcPr>
          <w:p>
            <w:r>
              <w:t>Gerente de Risco e Fraude</w:t>
            </w:r>
          </w:p>
        </w:tc>
        <w:tc>
          <w:tcPr>
            <w:tcW w:type="dxa" w:w="2880"/>
          </w:tcPr>
          <w:p>
            <w:r>
              <w:t>Decide sobre casos de alto valor ou alta complexidade; aprova exceções pontuais a esta política.</w:t>
            </w:r>
          </w:p>
        </w:tc>
      </w:tr>
      <w:tr>
        <w:tc>
          <w:tcPr>
            <w:tcW w:type="dxa" w:w="2880"/>
          </w:tcPr>
          <w:p>
            <w:r>
              <w:t>4 (máxima)</w:t>
            </w:r>
          </w:p>
        </w:tc>
        <w:tc>
          <w:tcPr>
            <w:tcW w:type="dxa" w:w="2880"/>
          </w:tcPr>
          <w:p>
            <w:r>
              <w:t>Comitê de Risco e Fraude</w:t>
            </w:r>
          </w:p>
        </w:tc>
        <w:tc>
          <w:tcPr>
            <w:tcW w:type="dxa" w:w="2880"/>
          </w:tcPr>
          <w:p>
            <w:r>
              <w:t>Delibera sobre casos que excedem a alçada do Gerente de Risco e Fraude ou que envolvem exceção à política vigente (Seção 7.2).</w:t>
            </w:r>
          </w:p>
        </w:tc>
      </w:tr>
    </w:tbl>
    <w:p/>
    <w:p>
      <w:r>
        <w:t>O Analista de Prevenção a Fraudes é o responsável pela primeira análise de todo alerta gerado pelo Code Shield (Seção 4) ou por qualquer um dos gatilhos adicionais (Seção 5.2), bem como pelos casos encaminhados pela trilha de Atendimento (Seção 3.2). Deve decidir, dentro de sua alçada (Seção 7.1), pela liberação do bloqueio, pela manutenção do bloqueio, ou pelo escalonamento ao Coordenador de Prevenção a Fraudes.</w:t>
      </w:r>
    </w:p>
    <w:p>
      <w:r>
        <w:t>O Coordenador de Prevenção a Fraudes revisa os casos escalonados pelo Analista de Prevenção a Fraudes que excedam a alçada de Nível 1, decidindo sobre bloqueios de maior valor ou complexidade, e pode determinar diretrizes operacionais para a equipe de Nível 1.</w:t>
      </w:r>
    </w:p>
    <w:p>
      <w:r>
        <w:t>O Gerente de Risco e Fraude decide sobre casos de alto valor ou alta complexidade escalonados pelo Coordenador, aprova exceções pontuais a esta política — que devem ser documentadas no CodeCase — e é, em conjunto com Compliance, responsável pela aprovação formal de alterações a esta política (Seção 11).</w:t>
      </w:r>
    </w:p>
    <w:p>
      <w:r>
        <w:t>O Comitê de Risco e Fraude delibera sobre casos que excedem a alçada do Gerente de Risco e Fraude ou que envolvem exceção à política vigente (Seção 7.2), sem alçada fixa em reais — cada caso é avaliado individualmente à luz do risco financeiro, reputacional e regulatório envolvido.</w:t>
      </w:r>
    </w:p>
    <w:p>
      <w:pPr>
        <w:pStyle w:val="Heading2"/>
      </w:pPr>
      <w:r>
        <w:t>3.2 Regra de Encaminhamento do Atendimento para a Fraude</w:t>
      </w:r>
    </w:p>
    <w:p>
      <w:r>
        <w:t>A área de Atendimento — composta pelo Analista de Relacionamento e pelo Supervisor de Atendimento — constitui o primeiro contato do cliente com o Code Bank, mas não integra a trilha de decisão de fraude e não possui alçada de liberação de bloqueios. O Analista de Relacionamento deve escalonar imediatamente o caso ao Analista de Prevenção a Fraudes sempre que identificar qualquer uma das seguintes situações:</w:t>
      </w:r>
    </w:p>
    <w:p>
      <w:pPr>
        <w:pStyle w:val="ListNumber"/>
      </w:pPr>
      <w:r>
        <w:t>O cliente relata uma transação que não reconhece;</w:t>
      </w:r>
    </w:p>
    <w:p>
      <w:pPr>
        <w:pStyle w:val="ListNumber"/>
      </w:pPr>
      <w:r>
        <w:t>O cliente solicita o bloqueio de cartão ou conta por suspeita de fraude;</w:t>
      </w:r>
    </w:p>
    <w:p>
      <w:pPr>
        <w:pStyle w:val="ListNumber"/>
      </w:pPr>
      <w:r>
        <w:t>Há indício de que o cliente está sendo vítima de um golpe em tempo real — por exemplo, relatando estar em ligação simultânea com um suposto fraudador (padrão típico do golpe do falso funcionário/central, Seção 9).</w:t>
      </w:r>
    </w:p>
    <w:p>
      <w:r>
        <w:t>Nestes casos, o Analista de Relacionamento não deve, sob nenhuma circunstância, tentar reverter transações, orientar o cliente sobre como comprovar a legitimidade de uma transação, ou avaliar o risco por conta própria. Sua responsabilidade se encerra na coleta dos dados iniciais do relato e na transferência formal do caso à trilha de Prevenção a Fraudes, conforme o passo a passo do Documento 2 – Procedimento de Resposta a Incidentes.</w:t>
      </w:r>
    </w:p>
    <w:p>
      <w:pPr>
        <w:pStyle w:val="Heading2"/>
      </w:pPr>
      <w:r>
        <w:t>3.3 Segregação de Funções e Registro de Decisões</w:t>
      </w:r>
    </w:p>
    <w:p>
      <w:r>
        <w:t>Nenhum colaborador pode liberar, isoladamente, um bloqueio cujo valor exceda sua própria alçada (Seção 7.1), independentemente de convicção pessoal sobre a legitimidade da transação. Toda decisão de liberação, manutenção de bloqueio ou aplicação de exceção deve ser registrada no sistema CodeCase, identificando o colaborador responsável, o horário da decisão e a justificativa técnica aplicada. Esse registro é a base para a auditoria periódica de qualidade de decisões de fraude conduzida pela Gerência de Risco e Fraude.</w:t>
      </w:r>
    </w:p>
    <w:p>
      <w:pPr>
        <w:pStyle w:val="Heading1"/>
      </w:pPr>
      <w:r>
        <w:t>4. Motor de Score de Risco de Fraude (Code Shield)</w:t>
      </w:r>
    </w:p>
    <w:p>
      <w:pPr>
        <w:pStyle w:val="Heading2"/>
      </w:pPr>
      <w:r>
        <w:t>4.1 Visão Geral</w:t>
      </w:r>
    </w:p>
    <w:p>
      <w:r>
        <w:t>O Code Bank utiliza um motor de score de risco de fraude proprietário, denominado Code Shield, para avaliar em tempo real a probabilidade de uma transação ser fraudulenta. O Code Shield considera, entre outras variáveis, o valor da transação, o histórico de comportamento transacional do cliente, o dispositivo utilizado, a localização geográfica aproximada e o padrão de uso recente da conta, atribuindo a cada transação avaliada uma pontuação numérica de risco (Seção 4.2).</w:t>
      </w:r>
    </w:p>
    <w:p>
      <w:r>
        <w:t>O Code Shield é utilizado exclusivamente para avaliação de risco de fraude transacional. Ele não alimenta, direta ou indiretamente, decisões de concessão de crédito, aumento de limite de cartão ou qualquer outra política de crédito, as quais permanecem fora do escopo desta política e são regidas por normativos próprios de crédito.</w:t>
      </w:r>
    </w:p>
    <w:p>
      <w:pPr>
        <w:pStyle w:val="Heading2"/>
      </w:pPr>
      <w:r>
        <w:t>4.2 Escala e Faixas de Risco</w:t>
      </w:r>
    </w:p>
    <w:p>
      <w:r>
        <w:t>O Code Shield atribui a cada transação avaliada uma pontuação numérica em uma escala de 0 a 1000, na qual quanto maior o valor, maior o risco estimado de fraude. A pontuação é classificada nas seguintes faixas: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Faixa</w:t>
            </w:r>
          </w:p>
        </w:tc>
        <w:tc>
          <w:tcPr>
            <w:tcW w:type="dxa" w:w="2160"/>
          </w:tcPr>
          <w:p>
            <w:r>
              <w:rPr>
                <w:b/>
              </w:rPr>
              <w:t>Rótulo</w:t>
            </w:r>
          </w:p>
        </w:tc>
        <w:tc>
          <w:tcPr>
            <w:tcW w:type="dxa" w:w="2160"/>
          </w:tcPr>
          <w:p>
            <w:r>
              <w:rPr>
                <w:b/>
              </w:rPr>
              <w:t>Limites (score)</w:t>
            </w:r>
          </w:p>
        </w:tc>
        <w:tc>
          <w:tcPr>
            <w:tcW w:type="dxa" w:w="2160"/>
          </w:tcPr>
          <w:p>
            <w:r>
              <w:rPr>
                <w:b/>
              </w:rPr>
              <w:t>Tratamento</w:t>
            </w:r>
          </w:p>
        </w:tc>
      </w:tr>
      <w:tr>
        <w:tc>
          <w:tcPr>
            <w:tcW w:type="dxa" w:w="2160"/>
          </w:tcPr>
          <w:p>
            <w:r>
              <w:t>1</w:t>
            </w:r>
          </w:p>
        </w:tc>
        <w:tc>
          <w:tcPr>
            <w:tcW w:type="dxa" w:w="2160"/>
          </w:tcPr>
          <w:p>
            <w:r>
              <w:t>Risco Baixo</w:t>
            </w:r>
          </w:p>
        </w:tc>
        <w:tc>
          <w:tcPr>
            <w:tcW w:type="dxa" w:w="2160"/>
          </w:tcPr>
          <w:p>
            <w:r>
              <w:t>0–299</w:t>
            </w:r>
          </w:p>
        </w:tc>
        <w:tc>
          <w:tcPr>
            <w:tcW w:type="dxa" w:w="2160"/>
          </w:tcPr>
          <w:p>
            <w:r>
              <w:t>Transação processada normalmente.</w:t>
            </w:r>
          </w:p>
        </w:tc>
      </w:tr>
      <w:tr>
        <w:tc>
          <w:tcPr>
            <w:tcW w:type="dxa" w:w="2160"/>
          </w:tcPr>
          <w:p>
            <w:r>
              <w:t>2</w:t>
            </w:r>
          </w:p>
        </w:tc>
        <w:tc>
          <w:tcPr>
            <w:tcW w:type="dxa" w:w="2160"/>
          </w:tcPr>
          <w:p>
            <w:r>
              <w:t>Risco Médio</w:t>
            </w:r>
          </w:p>
        </w:tc>
        <w:tc>
          <w:tcPr>
            <w:tcW w:type="dxa" w:w="2160"/>
          </w:tcPr>
          <w:p>
            <w:r>
              <w:t>300–599</w:t>
            </w:r>
          </w:p>
        </w:tc>
        <w:tc>
          <w:tcPr>
            <w:tcW w:type="dxa" w:w="2160"/>
          </w:tcPr>
          <w:p>
            <w:r>
              <w:t>Transação processada; pode gerar monitoramento adicional sem impacto para o cliente.</w:t>
            </w:r>
          </w:p>
        </w:tc>
      </w:tr>
      <w:tr>
        <w:tc>
          <w:tcPr>
            <w:tcW w:type="dxa" w:w="2160"/>
          </w:tcPr>
          <w:p>
            <w:r>
              <w:t>3</w:t>
            </w:r>
          </w:p>
        </w:tc>
        <w:tc>
          <w:tcPr>
            <w:tcW w:type="dxa" w:w="2160"/>
          </w:tcPr>
          <w:p>
            <w:r>
              <w:t>Risco Alto</w:t>
            </w:r>
          </w:p>
        </w:tc>
        <w:tc>
          <w:tcPr>
            <w:tcW w:type="dxa" w:w="2160"/>
          </w:tcPr>
          <w:p>
            <w:r>
              <w:t>600–849</w:t>
            </w:r>
          </w:p>
        </w:tc>
        <w:tc>
          <w:tcPr>
            <w:tcW w:type="dxa" w:w="2160"/>
          </w:tcPr>
          <w:p>
            <w:r>
              <w:t>Transação processada, mas gera alerta para a trilha de Prevenção a Fraudes para acompanhamento prioritário.</w:t>
            </w:r>
          </w:p>
        </w:tc>
      </w:tr>
      <w:tr>
        <w:tc>
          <w:tcPr>
            <w:tcW w:type="dxa" w:w="2160"/>
          </w:tcPr>
          <w:p>
            <w:r>
              <w:t>4</w:t>
            </w:r>
          </w:p>
        </w:tc>
        <w:tc>
          <w:tcPr>
            <w:tcW w:type="dxa" w:w="2160"/>
          </w:tcPr>
          <w:p>
            <w:r>
              <w:t>Risco Crítico</w:t>
            </w:r>
          </w:p>
        </w:tc>
        <w:tc>
          <w:tcPr>
            <w:tcW w:type="dxa" w:w="2160"/>
          </w:tcPr>
          <w:p>
            <w:r>
              <w:t>850–1000</w:t>
            </w:r>
          </w:p>
        </w:tc>
        <w:tc>
          <w:tcPr>
            <w:tcW w:type="dxa" w:w="2160"/>
          </w:tcPr>
          <w:p>
            <w:r>
              <w:t>Transação sujeita a bloqueio automático ao atingir o limiar da Seção 5.1; abaixo desse limiar, gera alerta de máxima prioridade.</w:t>
            </w:r>
          </w:p>
        </w:tc>
      </w:tr>
    </w:tbl>
    <w:p/>
    <w:p>
      <w:r>
        <w:t>Exemplo ilustrativo 1: uma transação avaliada em 875 pontos está na faixa de Risco Crítico, mas, por estar abaixo do limiar de bloqueio automático de 900 pontos (Seção 5.1), não é bloqueada automaticamente — ainda assim, gera alerta de prioridade máxima para análise imediata pelo Analista de Prevenção a Fraudes.</w:t>
      </w:r>
    </w:p>
    <w:p>
      <w:r>
        <w:t>Exemplo ilustrativo 2: uma transação avaliada em 450 pontos está na faixa de Risco Médio; é processada normalmente, podendo compor o histórico de monitoramento contínuo do cliente sem qualquer impacto perceptível para ele.</w:t>
      </w:r>
    </w:p>
    <w:p>
      <w:pPr>
        <w:pStyle w:val="Heading2"/>
      </w:pPr>
      <w:r>
        <w:t>4.3 Atualização e Recalibração do Modelo</w:t>
      </w:r>
    </w:p>
    <w:p>
      <w:r>
        <w:t>Os parâmetros do Code Shield — escala, faixas de risco e limiar de bloqueio automático — são periodicamente revisados pela Gerência de Risco e Fraude à luz da eficácia observada na prevenção de fraude e do volume de falsos positivos gerados. Qualquer alteração nesses parâmetros deve ser formalizada em nova versão desta política antes de entrar em vigor operacional, seguindo o mesmo rigor que motivou a transição da política anterior para a atual (Seção 10).</w:t>
      </w:r>
    </w:p>
    <w:p>
      <w:pPr>
        <w:pStyle w:val="Heading1"/>
      </w:pPr>
      <w:r>
        <w:t>5. Bloqueio Automático</w:t>
      </w:r>
    </w:p>
    <w:p>
      <w:pPr>
        <w:pStyle w:val="Heading2"/>
      </w:pPr>
      <w:r>
        <w:t>5.1 Limite de Bloqueio por Score</w:t>
      </w:r>
    </w:p>
    <w:p>
      <w:r>
        <w:t>Toda transação avaliada pelo Code Shield com pontuação igual ou superior a 900 é bloqueada automaticamente, sem intervenção humana prévia. O bloqueio automático por score é o principal mecanismo de contenção de fraude em tempo real do Code Bank e tem precedência sobre o processamento normal da transação, mesmo quando o cliente esteja ativamente na tela de confirmação da operação no aplicativo.</w:t>
      </w:r>
    </w:p>
    <w:p>
      <w:pPr>
        <w:pStyle w:val="Heading2"/>
      </w:pPr>
      <w:r>
        <w:t>5.2 Gatilhos Adicionais de Bloqueio Automático</w:t>
      </w:r>
    </w:p>
    <w:p>
      <w:r>
        <w:t>Independentemente da pontuação atribuída pelo Code Shield, os gatilhos abaixo também disparam bloqueio automático. Esta é uma lista fechada; qualquer gatilho adicional identificado pela trilha de Prevenção a Fraudes deve ser formalmente incorporado a esta política antes de entrar em vigor.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Gatilho</w:t>
            </w:r>
          </w:p>
        </w:tc>
        <w:tc>
          <w:tcPr>
            <w:tcW w:type="dxa" w:w="2880"/>
          </w:tcPr>
          <w:p>
            <w:r>
              <w:rPr>
                <w:b/>
              </w:rPr>
              <w:t>Parâmetro</w:t>
            </w:r>
          </w:p>
        </w:tc>
        <w:tc>
          <w:tcPr>
            <w:tcW w:type="dxa" w:w="2880"/>
          </w:tcPr>
          <w:p>
            <w:r>
              <w:rPr>
                <w:b/>
              </w:rPr>
              <w:t>Exemplo ilustrativo</w:t>
            </w:r>
          </w:p>
        </w:tc>
      </w:tr>
      <w:tr>
        <w:tc>
          <w:tcPr>
            <w:tcW w:type="dxa" w:w="2880"/>
          </w:tcPr>
          <w:p>
            <w:r>
              <w:t>5.2.1 Compra internacional sem aviso de viagem prévio</w:t>
            </w:r>
          </w:p>
        </w:tc>
        <w:tc>
          <w:tcPr>
            <w:tcW w:type="dxa" w:w="2880"/>
          </w:tcPr>
          <w:p>
            <w:r>
              <w:t>Acima de R$ 500,00</w:t>
            </w:r>
          </w:p>
        </w:tc>
        <w:tc>
          <w:tcPr>
            <w:tcW w:type="dxa" w:w="2880"/>
          </w:tcPr>
          <w:p>
            <w:r>
              <w:t>Uma compra internacional de R$ 620,00 sem Aviso de Viagem ativo (Seção 6.2) dispara bloqueio automático.</w:t>
            </w:r>
          </w:p>
        </w:tc>
      </w:tr>
      <w:tr>
        <w:tc>
          <w:tcPr>
            <w:tcW w:type="dxa" w:w="2880"/>
          </w:tcPr>
          <w:p>
            <w:r>
              <w:t>5.2.2 Transação de valor elevado após troca de dispositivo cadastrado</w:t>
            </w:r>
          </w:p>
        </w:tc>
        <w:tc>
          <w:tcPr>
            <w:tcW w:type="dxa" w:w="2880"/>
          </w:tcPr>
          <w:p>
            <w:r>
              <w:t>Acima de R$ 1.000,00, dentro de 24 horas após o reconhecimento do novo dispositivo</w:t>
            </w:r>
          </w:p>
        </w:tc>
        <w:tc>
          <w:tcPr>
            <w:tcW w:type="dxa" w:w="2880"/>
          </w:tcPr>
          <w:p>
            <w:r>
              <w:t>Um novo celular é reconhecido às 10h; uma transferência de R$ 1.500,00 solicitada às 20h do mesmo dia dispara bloqueio automático.</w:t>
            </w:r>
          </w:p>
        </w:tc>
      </w:tr>
      <w:tr>
        <w:tc>
          <w:tcPr>
            <w:tcW w:type="dxa" w:w="2880"/>
          </w:tcPr>
          <w:p>
            <w:r>
              <w:t>5.2.3 Transferência Pix para chave cadastrada recentemente</w:t>
            </w:r>
          </w:p>
        </w:tc>
        <w:tc>
          <w:tcPr>
            <w:tcW w:type="dxa" w:w="2880"/>
          </w:tcPr>
          <w:p>
            <w:r>
              <w:t>Acima de R$ 1.000,00, nas primeiras 24 horas após o cadastro da chave</w:t>
            </w:r>
          </w:p>
        </w:tc>
        <w:tc>
          <w:tcPr>
            <w:tcW w:type="dxa" w:w="2880"/>
          </w:tcPr>
          <w:p>
            <w:r>
              <w:t>Uma chave Pix é cadastrada às 9h; uma transferência de R$ 1.200,00 para essa chave às 15h do mesmo dia dispara bloqueio automático.</w:t>
            </w:r>
          </w:p>
        </w:tc>
      </w:tr>
      <w:tr>
        <w:tc>
          <w:tcPr>
            <w:tcW w:type="dxa" w:w="2880"/>
          </w:tcPr>
          <w:p>
            <w:r>
              <w:t>5.2.4 Tentativas de senha incorreta em sequência</w:t>
            </w:r>
          </w:p>
        </w:tc>
        <w:tc>
          <w:tcPr>
            <w:tcW w:type="dxa" w:w="2880"/>
          </w:tcPr>
          <w:p>
            <w:r>
              <w:t>3 tentativas consecutivas</w:t>
            </w:r>
          </w:p>
        </w:tc>
        <w:tc>
          <w:tcPr>
            <w:tcW w:type="dxa" w:w="2880"/>
          </w:tcPr>
          <w:p>
            <w:r>
              <w:t>A 3ª tentativa incorreta consecutiva de senha bloqueia preventivamente o acesso, independentemente do score da sessão.</w:t>
            </w:r>
          </w:p>
        </w:tc>
      </w:tr>
      <w:tr>
        <w:tc>
          <w:tcPr>
            <w:tcW w:type="dxa" w:w="2880"/>
          </w:tcPr>
          <w:p>
            <w:r>
              <w:t>5.2.5 Alteração de dado cadastral seguida de transação de alto valor</w:t>
            </w:r>
          </w:p>
        </w:tc>
        <w:tc>
          <w:tcPr>
            <w:tcW w:type="dxa" w:w="2880"/>
          </w:tcPr>
          <w:p>
            <w:r>
              <w:t>Alteração de e-mail ou telefone cadastrado seguida de tentativa de transação de alto valor nas 2 horas seguintes</w:t>
            </w:r>
          </w:p>
        </w:tc>
        <w:tc>
          <w:tcPr>
            <w:tcW w:type="dxa" w:w="2880"/>
          </w:tcPr>
          <w:p>
            <w:r>
              <w:t>Um e-mail cadastrado é alterado às 14h; uma tentativa de transferência de valor elevado às 15h30 do mesmo dia dispara bloqueio automático.</w:t>
            </w:r>
          </w:p>
        </w:tc>
      </w:tr>
    </w:tbl>
    <w:p/>
    <w:p>
      <w:r>
        <w:t>Nota de aplicação: quando uma mesma transação atinge simultaneamente mais de um gatilho listado nesta Seção 5.2, ou um gatilho e o limiar de score da Seção 5.1, o bloqueio é único — não há bloqueios cumulativos —, mas o caso registrado no CodeCase deve referenciar todos os critérios aplicáveis, para fins de análise posterior pela trilha de Prevenção a Fraudes.</w:t>
      </w:r>
    </w:p>
    <w:p>
      <w:pPr>
        <w:pStyle w:val="Heading2"/>
      </w:pPr>
      <w:r>
        <w:t>5.3 Comunicação ao Cliente após Bloqueio Automático</w:t>
      </w:r>
    </w:p>
    <w:p>
      <w:r>
        <w:t>Após qualquer bloqueio automático (por score ou por gatilho adicional), o cliente deve ser comunicado dentro dos prazos definidos no Documento 2 – Procedimento de Resposta a Incidentes, Seção 2 (comunicação em até 2 dias úteis após a conclusão da investigação, ou imediatamente em caso de bloqueio preventivo). Esta política não define o conteúdo ou os canais dessa comunicação, tratados exclusivamente no Documento 2.</w:t>
      </w:r>
    </w:p>
    <w:p>
      <w:pPr>
        <w:pStyle w:val="Heading1"/>
      </w:pPr>
      <w:r>
        <w:t>6. Critérios de Exceção e Whitelist</w:t>
      </w:r>
    </w:p>
    <w:p>
      <w:pPr>
        <w:pStyle w:val="Heading2"/>
      </w:pPr>
      <w:r>
        <w:t>6.1 Transações Nunca Bloqueadas</w:t>
      </w:r>
    </w:p>
    <w:p>
      <w:r>
        <w:t>As seguintes transações têm precedência sobre os gatilhos da Seção 5.2 e nunca disparam bloqueio automático, estando sujeitas apenas a monitoramento silencioso:</w:t>
      </w:r>
    </w:p>
    <w:p>
      <w:pPr>
        <w:pStyle w:val="ListBullet"/>
      </w:pPr>
      <w:r>
        <w:t>Transações recorrentes já confirmadas pelo cliente como legítimas, incluindo assinaturas e débitos automáticos previamente cadastrados;</w:t>
      </w:r>
    </w:p>
    <w:p>
      <w:pPr>
        <w:pStyle w:val="ListBullet"/>
      </w:pPr>
      <w:r>
        <w:t>Transações internacionais realizadas durante o período coberto por um Aviso de Viagem ativo (Seção 6.2).</w:t>
      </w:r>
    </w:p>
    <w:p>
      <w:pPr>
        <w:pStyle w:val="Heading2"/>
      </w:pPr>
      <w:r>
        <w:t>6.2 Aviso de Viagem</w:t>
      </w:r>
    </w:p>
    <w:p>
      <w:r>
        <w:t>O cliente pode informar previamente uma viagem internacional por meio da funcionalidade "Aviso de Viagem", disponível no aplicativo Code Bank. Enquanto o período informado estiver ativo, o gatilho de compra internacional sem aviso prévio (Seção 5.2.1) é suprimido para as transações realizadas dentro desse período.</w:t>
      </w:r>
    </w:p>
    <w:p>
      <w:r>
        <w:t>Exemplo ilustrativo: um cliente registra Aviso de Viagem para o período de 10/07/2026 a 25/07/2026; uma compra internacional de R$ 800,00 realizada em 15/07/2026 não dispara o gatilho da Seção 5.2.1, por estar dentro do período informado.</w:t>
      </w:r>
    </w:p>
    <w:p>
      <w:pPr>
        <w:pStyle w:val="Heading2"/>
      </w:pPr>
      <w:r>
        <w:t>6.3 Precedência entre Exceção e Gatilho</w:t>
      </w:r>
    </w:p>
    <w:p>
      <w:r>
        <w:t>Os critérios de exceção desta Seção 6 têm precedência sobre os gatilhos adicionais da Seção 5.2 — ou seja, uma transação amparada pela Seção 6.1 ou 6.2 não é bloqueada por nenhum dos gatilhos ali listados. Esta precedência não se estende ao bloqueio automático por pontuação do Code Shield (Seção 5.1): caso uma transação amparada por Aviso de Viagem, por exemplo, atinja de forma independente o limiar de risco crítico por outros fatores, o bloqueio automático por score permanece válido.</w:t>
      </w:r>
    </w:p>
    <w:p>
      <w:pPr>
        <w:pStyle w:val="Heading1"/>
      </w:pPr>
      <w:r>
        <w:t>7. Liberação Manual de Bloqueios — Alçadas</w:t>
      </w:r>
    </w:p>
    <w:p>
      <w:pPr>
        <w:pStyle w:val="Heading2"/>
      </w:pPr>
      <w:r>
        <w:t>7.1 Tabela de Alçada</w:t>
      </w:r>
    </w:p>
    <w:p>
      <w:r>
        <w:t>Bloqueios que não se enquadrem nos critérios de exceção da Seção 6 e que exijam avaliação humana para liberação seguem a tabela de alçada abaixo, consolidada a partir da estrutura organizacional da Seção 3.1:</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Cargo</w:t>
            </w:r>
          </w:p>
        </w:tc>
        <w:tc>
          <w:tcPr>
            <w:tcW w:type="dxa" w:w="4320"/>
          </w:tcPr>
          <w:p>
            <w:r>
              <w:rPr>
                <w:b/>
              </w:rPr>
              <w:t>Alçada de liberação manual (R$)</w:t>
            </w:r>
          </w:p>
        </w:tc>
      </w:tr>
      <w:tr>
        <w:tc>
          <w:tcPr>
            <w:tcW w:type="dxa" w:w="4320"/>
          </w:tcPr>
          <w:p>
            <w:r>
              <w:t>Analista de Prevenção a Fraudes</w:t>
            </w:r>
          </w:p>
        </w:tc>
        <w:tc>
          <w:tcPr>
            <w:tcW w:type="dxa" w:w="4320"/>
          </w:tcPr>
          <w:p>
            <w:r>
              <w:t>até R$ 2.000,00</w:t>
            </w:r>
          </w:p>
        </w:tc>
      </w:tr>
      <w:tr>
        <w:tc>
          <w:tcPr>
            <w:tcW w:type="dxa" w:w="4320"/>
          </w:tcPr>
          <w:p>
            <w:r>
              <w:t>Coordenador de Prevenção a Fraudes</w:t>
            </w:r>
          </w:p>
        </w:tc>
        <w:tc>
          <w:tcPr>
            <w:tcW w:type="dxa" w:w="4320"/>
          </w:tcPr>
          <w:p>
            <w:r>
              <w:t>até R$ 10.000,00</w:t>
            </w:r>
          </w:p>
        </w:tc>
      </w:tr>
      <w:tr>
        <w:tc>
          <w:tcPr>
            <w:tcW w:type="dxa" w:w="4320"/>
          </w:tcPr>
          <w:p>
            <w:r>
              <w:t>Gerente de Risco e Fraude</w:t>
            </w:r>
          </w:p>
        </w:tc>
        <w:tc>
          <w:tcPr>
            <w:tcW w:type="dxa" w:w="4320"/>
          </w:tcPr>
          <w:p>
            <w:r>
              <w:t>até R$ 50.000,00</w:t>
            </w:r>
          </w:p>
        </w:tc>
      </w:tr>
      <w:tr>
        <w:tc>
          <w:tcPr>
            <w:tcW w:type="dxa" w:w="4320"/>
          </w:tcPr>
          <w:p>
            <w:r>
              <w:t>Comitê de Risco e Fraude</w:t>
            </w:r>
          </w:p>
        </w:tc>
        <w:tc>
          <w:tcPr>
            <w:tcW w:type="dxa" w:w="4320"/>
          </w:tcPr>
          <w:p>
            <w:r>
              <w:t>Sem limite fixo — decide caso a caso</w:t>
            </w:r>
          </w:p>
        </w:tc>
      </w:tr>
    </w:tbl>
    <w:p/>
    <w:p>
      <w:r>
        <w:t>Exemplo ilustrativo 1: uma transação bloqueada no valor de R$ 8.500,00 está fora da alçada do Analista de Prevenção a Fraudes (até R$ 2.000,00) e deve ser escalonada ao Coordenador de Prevenção a Fraudes, cuja alçada (até R$ 10.000,00) comporta a liberação.</w:t>
      </w:r>
    </w:p>
    <w:p>
      <w:r>
        <w:t>Exemplo ilustrativo 2: uma transação bloqueada no valor de R$ 63.000,00 excede a alçada do Gerente de Risco e Fraude (até R$ 50.000,00) e deve ser encaminhada ao Comitê de Risco e Fraude (Seção 7.2).</w:t>
      </w:r>
    </w:p>
    <w:p>
      <w:pPr>
        <w:pStyle w:val="Heading2"/>
      </w:pPr>
      <w:r>
        <w:t>7.2 Condição para Acionação do Comitê de Risco e Fraude</w:t>
      </w:r>
    </w:p>
    <w:p>
      <w:r>
        <w:t>O Comitê de Risco e Fraude deve ser acionado quando o caso apresentar ao menos uma das seguintes condições: (i) valor envolvido acima de R$ 50.000,00; (ii) necessidade de exceção à política vigente; (iii) risco reputacional ou regulatório relevante. O Comitê delibera caso a caso, sem alçada fixa em reais.</w:t>
      </w:r>
    </w:p>
    <w:p>
      <w:pPr>
        <w:pStyle w:val="Heading2"/>
      </w:pPr>
      <w:r>
        <w:t>7.3 Prazos para Decisão sobre Liberação</w:t>
      </w:r>
    </w:p>
    <w:p>
      <w:r>
        <w:t>Os prazos operacionais para abertura e conclusão da investigação associada a um bloqueio, bem como para comunicação ao cliente, são definidos no Documento 2 – Procedimento de Resposta a Incidentes, Seção 2, e não são redefinidos nesta política. A alçada determina quem decide; o Documento 2 determina em quanto tempo a decisão deve ocorrer.</w:t>
      </w:r>
    </w:p>
    <w:p>
      <w:pPr>
        <w:pStyle w:val="Heading1"/>
      </w:pPr>
      <w:r>
        <w:t>8. Classificação e Ciclo de Vida do Caso</w:t>
      </w:r>
    </w:p>
    <w:p>
      <w:r>
        <w:t>Todo caso analisado sob esta política é classificado com um dos sete status a seguir, utilizados de forma idêntica em todos os documentos e sistemas relacionados, incluindo o sistema de gestão de casos CodeCase (Documento 2 – Procedimento de Resposta a Incidentes, Seção 1):</w:t>
      </w:r>
    </w:p>
    <w:p>
      <w:pPr>
        <w:pStyle w:val="ListNumber"/>
      </w:pPr>
      <w:r>
        <w:t>Aberto — caso recém-criado no CodeCase, aguardando análise inicial pela trilha de Prevenção a Fraudes.</w:t>
      </w:r>
    </w:p>
    <w:p>
      <w:pPr>
        <w:pStyle w:val="ListNumber"/>
      </w:pPr>
      <w:r>
        <w:t>Em Análise — caso sob investigação ativa.</w:t>
      </w:r>
    </w:p>
    <w:p>
      <w:pPr>
        <w:pStyle w:val="ListNumber"/>
      </w:pPr>
      <w:r>
        <w:t>Aguardando Cliente — caso pendente de informação ou confirmação por parte do cliente.</w:t>
      </w:r>
    </w:p>
    <w:p>
      <w:pPr>
        <w:pStyle w:val="ListNumber"/>
      </w:pPr>
      <w:r>
        <w:t>Escalonado — caso encaminhado a um nível superior de alçada, conforme Seção 7.</w:t>
      </w:r>
    </w:p>
    <w:p>
      <w:pPr>
        <w:pStyle w:val="ListNumber"/>
      </w:pPr>
      <w:r>
        <w:t>Confirmado – Fraude — a investigação concluiu pela existência de fraude.</w:t>
      </w:r>
    </w:p>
    <w:p>
      <w:pPr>
        <w:pStyle w:val="ListNumber"/>
      </w:pPr>
      <w:r>
        <w:t>Confirmado – Falso Positivo — a investigação concluiu que a transação era legítima.</w:t>
      </w:r>
    </w:p>
    <w:p>
      <w:pPr>
        <w:pStyle w:val="ListNumber"/>
      </w:pPr>
      <w:r>
        <w:t>Encerrado — caso finalizado, com desfecho registrado no CodeCase.</w:t>
      </w:r>
    </w:p>
    <w:p>
      <w:r>
        <w:t>O fluxo típico de um caso percorre os status acima na ordem listada, podendo retornar de "Aguardando Cliente" para "Em Análise" assim que a informação pendente for recebida, e podendo ser reaberto excepcionalmente mediante aprovação do Gerente de Risco e Fraude caso surjam novas evidências após o encerramento.</w:t>
      </w:r>
    </w:p>
    <w:p>
      <w:r>
        <w:t>A atualização do status no CodeCase é de responsabilidade do colaborador que detém o caso no momento — ou seja, o último nível da trilha de Prevenção a Fraudes a ter recebido o caso por escalonamento (Seção 3.1). A transição para "Escalonado" deve ocorrer no mesmo momento do encaminhamento a outro nível, nunca antes, para que o histórico do caso reflita fielmente por quais mãos ele passou.</w:t>
      </w:r>
    </w:p>
    <w:p>
      <w:pPr>
        <w:pStyle w:val="Heading1"/>
      </w:pPr>
      <w:r>
        <w:t>9. Tipologias de Fraude Cobertas</w:t>
      </w:r>
    </w:p>
    <w:p>
      <w:r>
        <w:t>As tipologias abaixo não esgotam todas as formas possíveis de fraude, mas representam os padrões mais frequentemente observados no setor bancário brasileiro e, por isso, orientam o desenho dos gatilhos da Seção 5.2. Esta política e o motor Code Shield foram desenhados para capturar, no mínimo, as seguintes tipologias:</w:t>
      </w:r>
    </w:p>
    <w:p>
      <w:pPr>
        <w:pStyle w:val="ListBullet"/>
      </w:pPr>
      <w:r>
        <w:t>Golpe do falso funcionário/central: fraudador se passa por funcionário do Code Bank, geralmente por telefone, induzindo a vítima a realizar uma transferência Pix ou informar dados sensíveis. Mitigado principalmente pelo gatilho de transferência a chave Pix recém-cadastrada (Seção 5.2.3), pela faixa de Risco Crítico (Seção 4.2) e pela regra de encaminhamento imediato da Seção 3.2.</w:t>
      </w:r>
    </w:p>
    <w:p>
      <w:pPr>
        <w:pStyle w:val="ListBullet"/>
      </w:pPr>
      <w:r>
        <w:t>Phishing e Account Takeover (ATO): obtenção fraudulenta de credenciais de acesso, seguida de tomada de controle da conta. Mitigado pelos gatilhos de troca de dispositivo (Seção 5.2.2) e de alteração de dado cadastral seguida de transação de alto valor (Seção 5.2.5), além do bloqueio preventivo após três tentativas de senha incorreta (Seção 5.2.4).</w:t>
      </w:r>
    </w:p>
    <w:p>
      <w:pPr>
        <w:pStyle w:val="ListBullet"/>
      </w:pPr>
      <w:r>
        <w:t>Clonagem e uso indevido de cartão em transações card-not-present (CNP): uso de dados de cartão sem sua apresentação física, comum em compras internacionais online. Mitigado pelo gatilho de compra internacional sem aviso de viagem (Seção 5.2.1) e pela avaliação contínua do Code Shield.</w:t>
      </w:r>
    </w:p>
    <w:p>
      <w:pPr>
        <w:pStyle w:val="ListBullet"/>
      </w:pPr>
      <w:r>
        <w:t>Fraude de engenharia social via Pix: indução da vítima, por meios diversos, a realizar uma transferência Pix voluntária para o fraudador. Mitigada pelo gatilho de transferência a chave Pix recém-cadastrada (Seção 5.2.3) e pela faixa de Risco Crítico.</w:t>
      </w:r>
    </w:p>
    <w:p>
      <w:pPr>
        <w:pStyle w:val="ListBullet"/>
      </w:pPr>
      <w:r>
        <w:t>Uso de contas laranja para dispersão de valores: recebimento e repasse de valores de origem ilícita por meio de contas de terceiros. Mitigado pela avaliação contínua de padrão transacional pelo Code Shield, que considera desvios do comportamento histórico da conta.</w:t>
      </w:r>
    </w:p>
    <w:p>
      <w:r>
        <w:t>O Documento 3 – Casos Históricos ilustra a aplicação prática destes critérios em casos anonimizados reais de cada uma destas tipologias, incluindo exemplos sob a política anterior (Seção 10) e sob a política atual.</w:t>
      </w:r>
    </w:p>
    <w:p>
      <w:pPr>
        <w:pStyle w:val="Heading1"/>
      </w:pPr>
      <w:r>
        <w:t>10. Política Anterior (Referência Histórica)</w:t>
      </w:r>
    </w:p>
    <w:p>
      <w:pPr>
        <w:pStyle w:val="Heading2"/>
      </w:pPr>
      <w:r>
        <w:t>10.1 Contexto da Mudança</w:t>
      </w:r>
    </w:p>
    <w:p>
      <w:r>
        <w:t>Entre a fundação do Code Bank, em 2017, e 29/02/2024, vigorou uma política de score e bloqueio com estrutura mais simples que a atual, descrita na Seção 10.2. O aumento de golpes de engenharia social via Pix — notadamente o golpe do falso funcionário/central (Seção 9) — evidenciou que essa política anterior não capturava tais fraudes com agilidade suficiente. Em 01/03/2024, o Code Bank revisou a política, introduzindo uma quarta faixa de risco ("Risco Crítico") e reduzindo o limiar de bloqueio automático de 950 para 900 pontos, priorizando a prevenção mesmo à custa de um leve aumento de falsos positivos.</w:t>
      </w:r>
    </w:p>
    <w:p>
      <w:pPr>
        <w:pStyle w:val="Heading2"/>
      </w:pPr>
      <w:r>
        <w:t>10.2 Parâmetros da Política Anterior</w:t>
      </w:r>
    </w:p>
    <w:p>
      <w:r>
        <w:t>Vigente de 2017 até 29/02/2024:</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Faixa</w:t>
            </w:r>
          </w:p>
        </w:tc>
        <w:tc>
          <w:tcPr>
            <w:tcW w:type="dxa" w:w="2880"/>
          </w:tcPr>
          <w:p>
            <w:r>
              <w:rPr>
                <w:b/>
              </w:rPr>
              <w:t>Rótulo</w:t>
            </w:r>
          </w:p>
        </w:tc>
        <w:tc>
          <w:tcPr>
            <w:tcW w:type="dxa" w:w="2880"/>
          </w:tcPr>
          <w:p>
            <w:r>
              <w:rPr>
                <w:b/>
              </w:rPr>
              <w:t>Limites (score)</w:t>
            </w:r>
          </w:p>
        </w:tc>
      </w:tr>
      <w:tr>
        <w:tc>
          <w:tcPr>
            <w:tcW w:type="dxa" w:w="2880"/>
          </w:tcPr>
          <w:p>
            <w:r>
              <w:t>1</w:t>
            </w:r>
          </w:p>
        </w:tc>
        <w:tc>
          <w:tcPr>
            <w:tcW w:type="dxa" w:w="2880"/>
          </w:tcPr>
          <w:p>
            <w:r>
              <w:t>Risco Baixo</w:t>
            </w:r>
          </w:p>
        </w:tc>
        <w:tc>
          <w:tcPr>
            <w:tcW w:type="dxa" w:w="2880"/>
          </w:tcPr>
          <w:p>
            <w:r>
              <w:t>0–399</w:t>
            </w:r>
          </w:p>
        </w:tc>
      </w:tr>
      <w:tr>
        <w:tc>
          <w:tcPr>
            <w:tcW w:type="dxa" w:w="2880"/>
          </w:tcPr>
          <w:p>
            <w:r>
              <w:t>2</w:t>
            </w:r>
          </w:p>
        </w:tc>
        <w:tc>
          <w:tcPr>
            <w:tcW w:type="dxa" w:w="2880"/>
          </w:tcPr>
          <w:p>
            <w:r>
              <w:t>Risco Médio</w:t>
            </w:r>
          </w:p>
        </w:tc>
        <w:tc>
          <w:tcPr>
            <w:tcW w:type="dxa" w:w="2880"/>
          </w:tcPr>
          <w:p>
            <w:r>
              <w:t>400–749</w:t>
            </w:r>
          </w:p>
        </w:tc>
      </w:tr>
      <w:tr>
        <w:tc>
          <w:tcPr>
            <w:tcW w:type="dxa" w:w="2880"/>
          </w:tcPr>
          <w:p>
            <w:r>
              <w:t>3</w:t>
            </w:r>
          </w:p>
        </w:tc>
        <w:tc>
          <w:tcPr>
            <w:tcW w:type="dxa" w:w="2880"/>
          </w:tcPr>
          <w:p>
            <w:r>
              <w:t>Risco Alto</w:t>
            </w:r>
          </w:p>
        </w:tc>
        <w:tc>
          <w:tcPr>
            <w:tcW w:type="dxa" w:w="2880"/>
          </w:tcPr>
          <w:p>
            <w:r>
              <w:t>750–1000</w:t>
            </w:r>
          </w:p>
        </w:tc>
      </w:tr>
    </w:tbl>
    <w:p/>
    <w:p>
      <w:r>
        <w:t>Limite de bloqueio automático na política anterior: pontuação igual ou superior a 950.</w:t>
      </w:r>
    </w:p>
    <w:p>
      <w:pPr>
        <w:pStyle w:val="Heading2"/>
      </w:pPr>
      <w:r>
        <w:t>10.3 Comparativo entre Política Anterior e Atual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Parâmetro</w:t>
            </w:r>
          </w:p>
        </w:tc>
        <w:tc>
          <w:tcPr>
            <w:tcW w:type="dxa" w:w="2880"/>
          </w:tcPr>
          <w:p>
            <w:r>
              <w:rPr>
                <w:b/>
              </w:rPr>
              <w:t>Política Anterior (até 29/02/2024)</w:t>
            </w:r>
          </w:p>
        </w:tc>
        <w:tc>
          <w:tcPr>
            <w:tcW w:type="dxa" w:w="2880"/>
          </w:tcPr>
          <w:p>
            <w:r>
              <w:rPr>
                <w:b/>
              </w:rPr>
              <w:t>Política Atual (desde 01/03/2024)</w:t>
            </w:r>
          </w:p>
        </w:tc>
      </w:tr>
      <w:tr>
        <w:tc>
          <w:tcPr>
            <w:tcW w:type="dxa" w:w="2880"/>
          </w:tcPr>
          <w:p>
            <w:r>
              <w:t>Número de faixas de risco</w:t>
            </w:r>
          </w:p>
        </w:tc>
        <w:tc>
          <w:tcPr>
            <w:tcW w:type="dxa" w:w="2880"/>
          </w:tcPr>
          <w:p>
            <w:r>
              <w:t>3</w:t>
            </w:r>
          </w:p>
        </w:tc>
        <w:tc>
          <w:tcPr>
            <w:tcW w:type="dxa" w:w="2880"/>
          </w:tcPr>
          <w:p>
            <w:r>
              <w:t>4</w:t>
            </w:r>
          </w:p>
        </w:tc>
      </w:tr>
      <w:tr>
        <w:tc>
          <w:tcPr>
            <w:tcW w:type="dxa" w:w="2880"/>
          </w:tcPr>
          <w:p>
            <w:r>
              <w:t>Limite de bloqueio automático</w:t>
            </w:r>
          </w:p>
        </w:tc>
        <w:tc>
          <w:tcPr>
            <w:tcW w:type="dxa" w:w="2880"/>
          </w:tcPr>
          <w:p>
            <w:r>
              <w:t>score ≥ 950</w:t>
            </w:r>
          </w:p>
        </w:tc>
        <w:tc>
          <w:tcPr>
            <w:tcW w:type="dxa" w:w="2880"/>
          </w:tcPr>
          <w:p>
            <w:r>
              <w:t>score ≥ 900</w:t>
            </w:r>
          </w:p>
        </w:tc>
      </w:tr>
      <w:tr>
        <w:tc>
          <w:tcPr>
            <w:tcW w:type="dxa" w:w="2880"/>
          </w:tcPr>
          <w:p>
            <w:r>
              <w:t>Faixa mais alta</w:t>
            </w:r>
          </w:p>
        </w:tc>
        <w:tc>
          <w:tcPr>
            <w:tcW w:type="dxa" w:w="2880"/>
          </w:tcPr>
          <w:p>
            <w:r>
              <w:t>Risco Alto (750–1000)</w:t>
            </w:r>
          </w:p>
        </w:tc>
        <w:tc>
          <w:tcPr>
            <w:tcW w:type="dxa" w:w="2880"/>
          </w:tcPr>
          <w:p>
            <w:r>
              <w:t>Risco Crítico (850–1000)</w:t>
            </w:r>
          </w:p>
        </w:tc>
      </w:tr>
    </w:tbl>
    <w:p/>
    <w:p>
      <w:pPr>
        <w:pStyle w:val="Heading2"/>
      </w:pPr>
      <w:r>
        <w:t>10.4 Aplicação aos Casos Históricos</w:t>
      </w:r>
    </w:p>
    <w:p>
      <w:r>
        <w:t>Casos descritos no Documento 3 – Casos Históricos com data anterior a 01/03/2024 devem ser interpretados à luz dos parâmetros da Seção 10.2, e não das faixas atuais (Seção 4.2) ou do limiar atual de bloqueio automático (Seção 5.1). Casos com data igual ou posterior a 01/03/2024 seguem integralmente os parâmetros atuais desta política.</w:t>
      </w:r>
    </w:p>
    <w:p>
      <w:pPr>
        <w:pStyle w:val="Heading1"/>
      </w:pPr>
      <w:r>
        <w:t>11. Revisão e Vigência</w:t>
      </w:r>
    </w:p>
    <w:p>
      <w:r>
        <w:t>Esta política está em vigor a partir de 01/06/2026. Deve ser revisada, no mínimo, sempre que houver alteração nos parâmetros do motor Code Shield (Seção 4), na estrutura organizacional da trilha de Prevenção a Fraudes (Seção 3) ou nas alçadas de liberação manual (Seção 7). Toda alteração a esta política deve ser formalmente aprovada pela Gerência de Risco e Fraude, em conjunto com a área de Compliance (Seção 3.1), antes de entrar em vigor.</w:t>
      </w:r>
    </w:p>
    <w:p>
      <w:r>
        <w:t>Os critérios de bloqueio por suspeita de fraude descritos nas Seções 4 a 6 deste documento aplicam-se de forma idêntica a transações realizadas por conta corrente, cartão de débito e cartão de crédito. O Documento 5 – Política de Contas, Taxas e Cartões faz referência a estas seções para os critérios de bloqueio de cartão por suspeita de fraude, sem redefini-los — qualquer nova regra de bloqueio específica para cartões deve ser incorporada primeiro a esta política, e não diretamente ao Documento 5.</w:t>
      </w:r>
    </w:p>
    <w:p>
      <w:r>
        <w:t>Histórico de Revisões: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Versão</w:t>
            </w:r>
          </w:p>
        </w:tc>
        <w:tc>
          <w:tcPr>
            <w:tcW w:type="dxa" w:w="2880"/>
          </w:tcPr>
          <w:p>
            <w:r>
              <w:rPr>
                <w:b/>
              </w:rPr>
              <w:t>Data</w:t>
            </w:r>
          </w:p>
        </w:tc>
        <w:tc>
          <w:tcPr>
            <w:tcW w:type="dxa" w:w="2880"/>
          </w:tcPr>
          <w:p>
            <w:r>
              <w:rPr>
                <w:b/>
              </w:rPr>
              <w:t>Descrição</w:t>
            </w:r>
          </w:p>
        </w:tc>
      </w:tr>
      <w:tr>
        <w:tc>
          <w:tcPr>
            <w:tcW w:type="dxa" w:w="2880"/>
          </w:tcPr>
          <w:p>
            <w:r>
              <w:t>1.0</w:t>
            </w:r>
          </w:p>
        </w:tc>
        <w:tc>
          <w:tcPr>
            <w:tcW w:type="dxa" w:w="2880"/>
          </w:tcPr>
          <w:p>
            <w:r>
              <w:t>01/06/2026</w:t>
            </w:r>
          </w:p>
        </w:tc>
        <w:tc>
          <w:tcPr>
            <w:tcW w:type="dxa" w:w="2880"/>
          </w:tcPr>
          <w:p>
            <w:r>
              <w:t>Emissão inicial desta política.</w:t>
            </w:r>
          </w:p>
        </w:tc>
      </w:tr>
      <w:tr>
        <w:tc>
          <w:tcPr>
            <w:tcW w:type="dxa" w:w="2880"/>
          </w:tcPr>
          <w:p>
            <w:r>
              <w:t>1.1</w:t>
            </w:r>
          </w:p>
        </w:tc>
        <w:tc>
          <w:tcPr>
            <w:tcW w:type="dxa" w:w="2880"/>
          </w:tcPr>
          <w:p>
            <w:r>
              <w:t>27/07/2026</w:t>
            </w:r>
          </w:p>
        </w:tc>
        <w:tc>
          <w:tcPr>
            <w:tcW w:type="dxa" w:w="2880"/>
          </w:tcPr>
          <w:p>
            <w:r>
              <w:t>Adicionada Seção 1.5 (Canais de Atendimento ao Cliente) com o contato do SAC e da Ouvidoria, corrigindo lacuna identificada na auditoria de consistência final.</w:t>
            </w:r>
          </w:p>
        </w:tc>
      </w:tr>
    </w:tbl>
    <w:p/>
    <w:p>
      <w:r>
        <w:br w:type="page"/>
      </w:r>
    </w:p>
    <w:p>
      <w:pPr>
        <w:pStyle w:val="Heading1"/>
      </w:pPr>
      <w:r>
        <w:t>Anexo A — Tabela-Resumo de Parâmetros Operacionais</w:t>
      </w:r>
    </w:p>
    <w:p>
      <w:r>
        <w:t>Este anexo consolida, para consulta rápida, os principais parâmetros numéricos definidos ao longo desta política. Em caso de qualquer divergência entre este anexo e o corpo do documento, prevalece o corpo do documento; este anexo é apenas referência de consulta.</w:t>
      </w:r>
    </w:p>
    <w:p>
      <w:pPr>
        <w:pStyle w:val="Heading2"/>
      </w:pPr>
      <w:r>
        <w:t>A.1 Motor de Score (Seção 4)</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Parâmetro</w:t>
            </w:r>
          </w:p>
        </w:tc>
        <w:tc>
          <w:tcPr>
            <w:tcW w:type="dxa" w:w="4320"/>
          </w:tcPr>
          <w:p>
            <w:r>
              <w:rPr>
                <w:b/>
              </w:rPr>
              <w:t>Valor</w:t>
            </w:r>
          </w:p>
        </w:tc>
      </w:tr>
      <w:tr>
        <w:tc>
          <w:tcPr>
            <w:tcW w:type="dxa" w:w="4320"/>
          </w:tcPr>
          <w:p>
            <w:r>
              <w:t>Escala do score</w:t>
            </w:r>
          </w:p>
        </w:tc>
        <w:tc>
          <w:tcPr>
            <w:tcW w:type="dxa" w:w="4320"/>
          </w:tcPr>
          <w:p>
            <w:r>
              <w:t>0 a 1000</w:t>
            </w:r>
          </w:p>
        </w:tc>
      </w:tr>
      <w:tr>
        <w:tc>
          <w:tcPr>
            <w:tcW w:type="dxa" w:w="4320"/>
          </w:tcPr>
          <w:p>
            <w:r>
              <w:t>Risco Baixo</w:t>
            </w:r>
          </w:p>
        </w:tc>
        <w:tc>
          <w:tcPr>
            <w:tcW w:type="dxa" w:w="4320"/>
          </w:tcPr>
          <w:p>
            <w:r>
              <w:t>0–299</w:t>
            </w:r>
          </w:p>
        </w:tc>
      </w:tr>
      <w:tr>
        <w:tc>
          <w:tcPr>
            <w:tcW w:type="dxa" w:w="4320"/>
          </w:tcPr>
          <w:p>
            <w:r>
              <w:t>Risco Médio</w:t>
            </w:r>
          </w:p>
        </w:tc>
        <w:tc>
          <w:tcPr>
            <w:tcW w:type="dxa" w:w="4320"/>
          </w:tcPr>
          <w:p>
            <w:r>
              <w:t>300–599</w:t>
            </w:r>
          </w:p>
        </w:tc>
      </w:tr>
      <w:tr>
        <w:tc>
          <w:tcPr>
            <w:tcW w:type="dxa" w:w="4320"/>
          </w:tcPr>
          <w:p>
            <w:r>
              <w:t>Risco Alto</w:t>
            </w:r>
          </w:p>
        </w:tc>
        <w:tc>
          <w:tcPr>
            <w:tcW w:type="dxa" w:w="4320"/>
          </w:tcPr>
          <w:p>
            <w:r>
              <w:t>600–849</w:t>
            </w:r>
          </w:p>
        </w:tc>
      </w:tr>
      <w:tr>
        <w:tc>
          <w:tcPr>
            <w:tcW w:type="dxa" w:w="4320"/>
          </w:tcPr>
          <w:p>
            <w:r>
              <w:t>Risco Crítico</w:t>
            </w:r>
          </w:p>
        </w:tc>
        <w:tc>
          <w:tcPr>
            <w:tcW w:type="dxa" w:w="4320"/>
          </w:tcPr>
          <w:p>
            <w:r>
              <w:t>850–1000</w:t>
            </w:r>
          </w:p>
        </w:tc>
      </w:tr>
      <w:tr>
        <w:tc>
          <w:tcPr>
            <w:tcW w:type="dxa" w:w="4320"/>
          </w:tcPr>
          <w:p>
            <w:r>
              <w:t>Limite de bloqueio automático (atual)</w:t>
            </w:r>
          </w:p>
        </w:tc>
        <w:tc>
          <w:tcPr>
            <w:tcW w:type="dxa" w:w="4320"/>
          </w:tcPr>
          <w:p>
            <w:r>
              <w:t>score ≥ 900</w:t>
            </w:r>
          </w:p>
        </w:tc>
      </w:tr>
    </w:tbl>
    <w:p/>
    <w:p>
      <w:pPr>
        <w:pStyle w:val="Heading2"/>
      </w:pPr>
      <w:r>
        <w:t>A.2 Gatilhos Adicionais de Bloqueio (Seção 5.2)</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Gatilho</w:t>
            </w:r>
          </w:p>
        </w:tc>
        <w:tc>
          <w:tcPr>
            <w:tcW w:type="dxa" w:w="4320"/>
          </w:tcPr>
          <w:p>
            <w:r>
              <w:rPr>
                <w:b/>
              </w:rPr>
              <w:t>Parâmetro</w:t>
            </w:r>
          </w:p>
        </w:tc>
      </w:tr>
      <w:tr>
        <w:tc>
          <w:tcPr>
            <w:tcW w:type="dxa" w:w="4320"/>
          </w:tcPr>
          <w:p>
            <w:r>
              <w:t>Compra internacional sem aviso de viagem</w:t>
            </w:r>
          </w:p>
        </w:tc>
        <w:tc>
          <w:tcPr>
            <w:tcW w:type="dxa" w:w="4320"/>
          </w:tcPr>
          <w:p>
            <w:r>
              <w:t>acima de R$ 500,00</w:t>
            </w:r>
          </w:p>
        </w:tc>
      </w:tr>
      <w:tr>
        <w:tc>
          <w:tcPr>
            <w:tcW w:type="dxa" w:w="4320"/>
          </w:tcPr>
          <w:p>
            <w:r>
              <w:t>Transação após troca de dispositivo</w:t>
            </w:r>
          </w:p>
        </w:tc>
        <w:tc>
          <w:tcPr>
            <w:tcW w:type="dxa" w:w="4320"/>
          </w:tcPr>
          <w:p>
            <w:r>
              <w:t>acima de R$ 1.000,00 em 24h</w:t>
            </w:r>
          </w:p>
        </w:tc>
      </w:tr>
      <w:tr>
        <w:tc>
          <w:tcPr>
            <w:tcW w:type="dxa" w:w="4320"/>
          </w:tcPr>
          <w:p>
            <w:r>
              <w:t>Transferência a chave Pix recém-cadastrada</w:t>
            </w:r>
          </w:p>
        </w:tc>
        <w:tc>
          <w:tcPr>
            <w:tcW w:type="dxa" w:w="4320"/>
          </w:tcPr>
          <w:p>
            <w:r>
              <w:t>acima de R$ 1.000,00 em 24h</w:t>
            </w:r>
          </w:p>
        </w:tc>
      </w:tr>
      <w:tr>
        <w:tc>
          <w:tcPr>
            <w:tcW w:type="dxa" w:w="4320"/>
          </w:tcPr>
          <w:p>
            <w:r>
              <w:t>Tentativas de senha incorreta</w:t>
            </w:r>
          </w:p>
        </w:tc>
        <w:tc>
          <w:tcPr>
            <w:tcW w:type="dxa" w:w="4320"/>
          </w:tcPr>
          <w:p>
            <w:r>
              <w:t>3 tentativas consecutivas</w:t>
            </w:r>
          </w:p>
        </w:tc>
      </w:tr>
      <w:tr>
        <w:tc>
          <w:tcPr>
            <w:tcW w:type="dxa" w:w="4320"/>
          </w:tcPr>
          <w:p>
            <w:r>
              <w:t>Alteração de dado cadastral + transação de alto valor</w:t>
            </w:r>
          </w:p>
        </w:tc>
        <w:tc>
          <w:tcPr>
            <w:tcW w:type="dxa" w:w="4320"/>
          </w:tcPr>
          <w:p>
            <w:r>
              <w:t>até 2 horas depois</w:t>
            </w:r>
          </w:p>
        </w:tc>
      </w:tr>
    </w:tbl>
    <w:p/>
    <w:p>
      <w:pPr>
        <w:pStyle w:val="Heading2"/>
      </w:pPr>
      <w:r>
        <w:t>A.3 Alçadas de Liberação Manual (Seção 7)</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Cargo</w:t>
            </w:r>
          </w:p>
        </w:tc>
        <w:tc>
          <w:tcPr>
            <w:tcW w:type="dxa" w:w="4320"/>
          </w:tcPr>
          <w:p>
            <w:r>
              <w:rPr>
                <w:b/>
              </w:rPr>
              <w:t>Alçada (R$)</w:t>
            </w:r>
          </w:p>
        </w:tc>
      </w:tr>
      <w:tr>
        <w:tc>
          <w:tcPr>
            <w:tcW w:type="dxa" w:w="4320"/>
          </w:tcPr>
          <w:p>
            <w:r>
              <w:t>Analista de Prevenção a Fraudes</w:t>
            </w:r>
          </w:p>
        </w:tc>
        <w:tc>
          <w:tcPr>
            <w:tcW w:type="dxa" w:w="4320"/>
          </w:tcPr>
          <w:p>
            <w:r>
              <w:t>até R$ 2.000,00</w:t>
            </w:r>
          </w:p>
        </w:tc>
      </w:tr>
      <w:tr>
        <w:tc>
          <w:tcPr>
            <w:tcW w:type="dxa" w:w="4320"/>
          </w:tcPr>
          <w:p>
            <w:r>
              <w:t>Coordenador de Prevenção a Fraudes</w:t>
            </w:r>
          </w:p>
        </w:tc>
        <w:tc>
          <w:tcPr>
            <w:tcW w:type="dxa" w:w="4320"/>
          </w:tcPr>
          <w:p>
            <w:r>
              <w:t>até R$ 10.000,00</w:t>
            </w:r>
          </w:p>
        </w:tc>
      </w:tr>
      <w:tr>
        <w:tc>
          <w:tcPr>
            <w:tcW w:type="dxa" w:w="4320"/>
          </w:tcPr>
          <w:p>
            <w:r>
              <w:t>Gerente de Risco e Fraude</w:t>
            </w:r>
          </w:p>
        </w:tc>
        <w:tc>
          <w:tcPr>
            <w:tcW w:type="dxa" w:w="4320"/>
          </w:tcPr>
          <w:p>
            <w:r>
              <w:t>até R$ 50.000,00</w:t>
            </w:r>
          </w:p>
        </w:tc>
      </w:tr>
      <w:tr>
        <w:tc>
          <w:tcPr>
            <w:tcW w:type="dxa" w:w="4320"/>
          </w:tcPr>
          <w:p>
            <w:r>
              <w:t>Comitê de Risco e Fraude</w:t>
            </w:r>
          </w:p>
        </w:tc>
        <w:tc>
          <w:tcPr>
            <w:tcW w:type="dxa" w:w="4320"/>
          </w:tcPr>
          <w:p>
            <w:r>
              <w:t>Sem limite fixo</w:t>
            </w:r>
          </w:p>
        </w:tc>
      </w:tr>
    </w:tbl>
    <w:p/>
    <w:p>
      <w:pPr>
        <w:pStyle w:val="Heading2"/>
      </w:pPr>
      <w:r>
        <w:t>A.4 Política Anterior vs. Atual (Seção 10)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Parâmetro</w:t>
            </w:r>
          </w:p>
        </w:tc>
        <w:tc>
          <w:tcPr>
            <w:tcW w:type="dxa" w:w="2880"/>
          </w:tcPr>
          <w:p>
            <w:r>
              <w:rPr>
                <w:b/>
              </w:rPr>
              <w:t>Até 29/02/2024</w:t>
            </w:r>
          </w:p>
        </w:tc>
        <w:tc>
          <w:tcPr>
            <w:tcW w:type="dxa" w:w="2880"/>
          </w:tcPr>
          <w:p>
            <w:r>
              <w:rPr>
                <w:b/>
              </w:rPr>
              <w:t>Desde 01/03/2024</w:t>
            </w:r>
          </w:p>
        </w:tc>
      </w:tr>
      <w:tr>
        <w:tc>
          <w:tcPr>
            <w:tcW w:type="dxa" w:w="2880"/>
          </w:tcPr>
          <w:p>
            <w:r>
              <w:t>Faixas de score</w:t>
            </w:r>
          </w:p>
        </w:tc>
        <w:tc>
          <w:tcPr>
            <w:tcW w:type="dxa" w:w="2880"/>
          </w:tcPr>
          <w:p>
            <w:r>
              <w:t>3 (Baixo 0–399, Médio 400–749, Alto 750–1000)</w:t>
            </w:r>
          </w:p>
        </w:tc>
        <w:tc>
          <w:tcPr>
            <w:tcW w:type="dxa" w:w="2880"/>
          </w:tcPr>
          <w:p>
            <w:r>
              <w:t>4 (Baixo 0–299, Médio 300–599, Alto 600–849, Crítico 850–1000)</w:t>
            </w:r>
          </w:p>
        </w:tc>
      </w:tr>
      <w:tr>
        <w:tc>
          <w:tcPr>
            <w:tcW w:type="dxa" w:w="2880"/>
          </w:tcPr>
          <w:p>
            <w:r>
              <w:t>Limite de bloqueio automático</w:t>
            </w:r>
          </w:p>
        </w:tc>
        <w:tc>
          <w:tcPr>
            <w:tcW w:type="dxa" w:w="2880"/>
          </w:tcPr>
          <w:p>
            <w:r>
              <w:t>score ≥ 950</w:t>
            </w:r>
          </w:p>
        </w:tc>
        <w:tc>
          <w:tcPr>
            <w:tcW w:type="dxa" w:w="2880"/>
          </w:tcPr>
          <w:p>
            <w:r>
              <w:t>score ≥ 900</w:t>
            </w:r>
          </w:p>
        </w:tc>
      </w:tr>
    </w:tbl>
    <w:p/>
    <w:p>
      <w:pPr>
        <w:pStyle w:val="Heading2"/>
      </w:pPr>
      <w:r>
        <w:t>A.5 Status de Caso (Seção 8)</w:t>
      </w:r>
    </w:p>
    <w:p>
      <w:r>
        <w:t>Aberto → Em Análise → Aguardando Cliente / Escalonado → Confirmado – Fraude ou Confirmado – Falso Positivo → Encerrado.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 Bank – Uso Interno – POL-FRAUDE-001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