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CODE BANK</w:t>
      </w:r>
    </w:p>
    <w:p>
      <w:pPr>
        <w:jc w:val="center"/>
      </w:pPr>
      <w:r>
        <w:rPr>
          <w:b/>
          <w:sz w:val="36"/>
        </w:rPr>
        <w:t>Procedimento de Resposta a Incidentes</w:t>
      </w:r>
    </w:p>
    <w:p/>
    <w:tbl>
      <w:tblPr>
        <w:tblStyle w:val="TableGrid"/>
        <w:tblW w:type="auto" w:w="0"/>
        <w:tblLook w:firstColumn="1" w:firstRow="1" w:lastColumn="0" w:lastRow="0" w:noHBand="0" w:noVBand="1" w:val="04A0"/>
      </w:tblPr>
      <w:tblGrid>
        <w:gridCol w:w="4320"/>
        <w:gridCol w:w="4320"/>
      </w:tblGrid>
      <w:tr>
        <w:tc>
          <w:tcPr>
            <w:tcW w:type="dxa" w:w="4320"/>
          </w:tcPr>
          <w:p>
            <w:r>
              <w:rPr>
                <w:b/>
              </w:rPr>
              <w:t>Código do documento</w:t>
            </w:r>
          </w:p>
        </w:tc>
        <w:tc>
          <w:tcPr>
            <w:tcW w:type="dxa" w:w="4320"/>
          </w:tcPr>
          <w:p>
            <w:r>
              <w:t>PROC-INCIDENTES-001</w:t>
            </w:r>
          </w:p>
        </w:tc>
      </w:tr>
      <w:tr>
        <w:tc>
          <w:tcPr>
            <w:tcW w:type="dxa" w:w="4320"/>
          </w:tcPr>
          <w:p>
            <w:r>
              <w:rPr>
                <w:b/>
              </w:rPr>
              <w:t>Versão</w:t>
            </w:r>
          </w:p>
        </w:tc>
        <w:tc>
          <w:tcPr>
            <w:tcW w:type="dxa" w:w="4320"/>
          </w:tcPr>
          <w:p>
            <w:r>
              <w:t>1.0</w:t>
            </w:r>
          </w:p>
        </w:tc>
      </w:tr>
      <w:tr>
        <w:tc>
          <w:tcPr>
            <w:tcW w:type="dxa" w:w="4320"/>
          </w:tcPr>
          <w:p>
            <w:r>
              <w:rPr>
                <w:b/>
              </w:rPr>
              <w:t>Emitido em</w:t>
            </w:r>
          </w:p>
        </w:tc>
        <w:tc>
          <w:tcPr>
            <w:tcW w:type="dxa" w:w="4320"/>
          </w:tcPr>
          <w:p>
            <w:r>
              <w:t>01/06/2026</w:t>
            </w:r>
          </w:p>
        </w:tc>
      </w:tr>
      <w:tr>
        <w:tc>
          <w:tcPr>
            <w:tcW w:type="dxa" w:w="4320"/>
          </w:tcPr>
          <w:p>
            <w:r>
              <w:rPr>
                <w:b/>
              </w:rPr>
              <w:t>Classificação</w:t>
            </w:r>
          </w:p>
        </w:tc>
        <w:tc>
          <w:tcPr>
            <w:tcW w:type="dxa" w:w="4320"/>
          </w:tcPr>
          <w:p>
            <w:r>
              <w:t>Uso Interno</w:t>
            </w:r>
          </w:p>
        </w:tc>
      </w:tr>
      <w:tr>
        <w:tc>
          <w:tcPr>
            <w:tcW w:type="dxa" w:w="4320"/>
          </w:tcPr>
          <w:p>
            <w:r>
              <w:rPr>
                <w:b/>
              </w:rPr>
              <w:t>Área responsável</w:t>
            </w:r>
          </w:p>
        </w:tc>
        <w:tc>
          <w:tcPr>
            <w:tcW w:type="dxa" w:w="4320"/>
          </w:tcPr>
          <w:p>
            <w:r>
              <w:t>Gerência de Risco e Fraude, em conjunto com Compliance</w:t>
            </w:r>
          </w:p>
        </w:tc>
      </w:tr>
    </w:tbl>
    <w:p>
      <w:r>
        <w:br w:type="page"/>
      </w:r>
    </w:p>
    <w:p>
      <w:pPr>
        <w:pStyle w:val="Heading1"/>
      </w:pPr>
      <w:r>
        <w:t>Apresentação</w:t>
      </w:r>
    </w:p>
    <w:p>
      <w:r>
        <w:t>Este documento estabelece o passo a passo operacional a ser seguido pelas áreas de Atendimento e de Prevenção e Investigação de Fraude do Code Bank, da abertura de um caso de suspeita de fraude até seu encerramento. Enquanto o Documento 1 – Política de Detecção de Fraude define os critérios técnicos que determinam quando uma transação é considerada suspeita — motor de score, gatilhos de bloqueio automático, cargos e alçadas da trilha de Prevenção a Fraudes, e os rótulos de status de caso —, este documento define como o caso deve ser conduzido operacionalmente: em qual sistema é registrado, em quais prazos, e com quais exigências específicas em cada desfecho possível.</w:t>
      </w:r>
    </w:p>
    <w:p>
      <w:r>
        <w:t>O escopo deste procedimento é idêntico ao do Documento 1: cobre exclusivamente casos de suspeita de fraude transacional envolvendo clientes Pessoa Física (PF). Este documento não redefine nenhum critério, cargo, alçada ou rótulo de status já estabelecido no Documento 1 — apenas os referencia. A tabela abaixo resume a divisão de responsabilidade entre os dois documentos:</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Aspecto</w:t>
            </w:r>
          </w:p>
        </w:tc>
        <w:tc>
          <w:tcPr>
            <w:tcW w:type="dxa" w:w="4320"/>
          </w:tcPr>
          <w:p>
            <w:r>
              <w:rPr>
                <w:b/>
              </w:rPr>
              <w:t>Onde está definido</w:t>
            </w:r>
          </w:p>
        </w:tc>
      </w:tr>
      <w:tr>
        <w:tc>
          <w:tcPr>
            <w:tcW w:type="dxa" w:w="4320"/>
          </w:tcPr>
          <w:p>
            <w:r>
              <w:t>Critérios de score, faixas de risco e gatilhos de bloqueio automático</w:t>
            </w:r>
          </w:p>
        </w:tc>
        <w:tc>
          <w:tcPr>
            <w:tcW w:type="dxa" w:w="4320"/>
          </w:tcPr>
          <w:p>
            <w:r>
              <w:t>Documento 1, Seções 4 e 5</w:t>
            </w:r>
          </w:p>
        </w:tc>
      </w:tr>
      <w:tr>
        <w:tc>
          <w:tcPr>
            <w:tcW w:type="dxa" w:w="4320"/>
          </w:tcPr>
          <w:p>
            <w:r>
              <w:t>Cargos da trilha de Prevenção e Investigação de Fraude e suas alçadas</w:t>
            </w:r>
          </w:p>
        </w:tc>
        <w:tc>
          <w:tcPr>
            <w:tcW w:type="dxa" w:w="4320"/>
          </w:tcPr>
          <w:p>
            <w:r>
              <w:t>Documento 1, Seções 3 e 7</w:t>
            </w:r>
          </w:p>
        </w:tc>
      </w:tr>
      <w:tr>
        <w:tc>
          <w:tcPr>
            <w:tcW w:type="dxa" w:w="4320"/>
          </w:tcPr>
          <w:p>
            <w:r>
              <w:t>Rótulos de status de caso (lista fechada)</w:t>
            </w:r>
          </w:p>
        </w:tc>
        <w:tc>
          <w:tcPr>
            <w:tcW w:type="dxa" w:w="4320"/>
          </w:tcPr>
          <w:p>
            <w:r>
              <w:t>Documento 1, Seção 8</w:t>
            </w:r>
          </w:p>
        </w:tc>
      </w:tr>
      <w:tr>
        <w:tc>
          <w:tcPr>
            <w:tcW w:type="dxa" w:w="4320"/>
          </w:tcPr>
          <w:p>
            <w:r>
              <w:t>Sistema de registro, prazos (SLA) e exigências por desfecho</w:t>
            </w:r>
          </w:p>
        </w:tc>
        <w:tc>
          <w:tcPr>
            <w:tcW w:type="dxa" w:w="4320"/>
          </w:tcPr>
          <w:p>
            <w:r>
              <w:t>Este documento (Documento 2)</w:t>
            </w:r>
          </w:p>
        </w:tc>
      </w:tr>
    </w:tbl>
    <w:p/>
    <w:p>
      <w:pPr>
        <w:pStyle w:val="Heading1"/>
      </w:pPr>
      <w:r>
        <w:t>1. Sistema de Gestão de Casos (CodeCase)</w:t>
      </w:r>
    </w:p>
    <w:p>
      <w:pPr>
        <w:pStyle w:val="Heading2"/>
      </w:pPr>
      <w:r>
        <w:t>1.1 Visão Geral</w:t>
      </w:r>
    </w:p>
    <w:p>
      <w:r>
        <w:t>Toda investigação de suspeita de fraude conduzida pelo Code Bank é registrada e acompanhada no sistema interno CodeCase, utilizado por todos os níveis da trilha de Prevenção e Investigação de Fraude (Documento 1, Seção 3.1). O CodeCase é a fonte única de verdade sobre o estado de cada caso — nenhuma decisão de liberação, manutenção de bloqueio ou aplicação de exceção é considerada válida se não estiver registrada nele (Documento 1, Seção 3.3).</w:t>
      </w:r>
    </w:p>
    <w:p>
      <w:pPr>
        <w:pStyle w:val="Heading2"/>
      </w:pPr>
      <w:r>
        <w:t>1.2 Origem do Caso — Alerta Automático vs. Relato do Cliente</w:t>
      </w:r>
    </w:p>
    <w:p>
      <w:r>
        <w:t>Um caso pode ser aberto no CodeCase por duas origens distintas:</w:t>
      </w:r>
    </w:p>
    <w:p>
      <w:pPr>
        <w:pStyle w:val="ListBullet"/>
      </w:pPr>
      <w:r>
        <w:t>Alerta automático: gerado quando o motor Code Shield atribui pontuação igual ou superior ao limiar de bloqueio automático (Documento 1, Seção 5.1), ou quando qualquer um dos gatilhos adicionais (Documento 1, Seção 5.2) é disparado. Nesse caso, o CodeCase cria o registro automaticamente, com status inicial "Aberto" e origem "Alerta automático", sem necessidade de relato prévio do cliente.</w:t>
      </w:r>
    </w:p>
    <w:p>
      <w:pPr>
        <w:pStyle w:val="ListBullet"/>
      </w:pPr>
      <w:r>
        <w:t>Relato do cliente via Atendimento: quando o cliente relata uma transação não reconhecida ou solicita bloqueio por suspeita de fraude (Documento 1, Seção 3.2), o Analista de Relacionamento transfere o relato ao Analista de Prevenção a Fraudes, que formaliza a abertura no CodeCase com status "Aberto" e origem "Relato do cliente".</w:t>
      </w:r>
    </w:p>
    <w:p>
      <w:pPr>
        <w:pStyle w:val="Heading2"/>
      </w:pPr>
      <w:r>
        <w:t>1.3 Dados Mínimos de Abertura</w:t>
      </w:r>
    </w:p>
    <w:p>
      <w:r>
        <w:t>Independentemente da origem, todo registro de abertura no CodeCase deve conter, no mínimo:</w:t>
      </w:r>
    </w:p>
    <w:p>
      <w:pPr>
        <w:pStyle w:val="ListBullet"/>
      </w:pPr>
      <w:r>
        <w:t>Transação(ões) ou conta envolvida(s);</w:t>
      </w:r>
    </w:p>
    <w:p>
      <w:pPr>
        <w:pStyle w:val="ListBullet"/>
      </w:pPr>
      <w:r>
        <w:t>Origem do caso e, se aplicável, qual gatilho específico foi disparado (Documento 1, Seção 5.2);</w:t>
      </w:r>
    </w:p>
    <w:p>
      <w:pPr>
        <w:pStyle w:val="ListBullet"/>
      </w:pPr>
      <w:r>
        <w:t>Data e hora da abertura;</w:t>
      </w:r>
    </w:p>
    <w:p>
      <w:pPr>
        <w:pStyle w:val="ListBullet"/>
      </w:pPr>
      <w:r>
        <w:t>Dados de contato do cliente, quando o caso envolver comunicação direta com ele.</w:t>
      </w:r>
    </w:p>
    <w:p>
      <w:r>
        <w:t>Nos casos de bloqueio automático de urgência, a abertura não deve ser retardada pela eventual ausência de algum desses dados — o preenchimento é completado na Etapa 1 (Seção 3.1) antes do início da investigação.</w:t>
      </w:r>
    </w:p>
    <w:p>
      <w:pPr>
        <w:pStyle w:val="Heading2"/>
      </w:pPr>
      <w:r>
        <w:t>1.4 Permissões e Histórico de Status</w:t>
      </w:r>
    </w:p>
    <w:p>
      <w:r>
        <w:t>O CodeCase mantém histórico completo e imutável de todas as mudanças de status de um caso (Documento 1, Seção 8), incluindo data, hora e colaborador responsável por cada mudança. Cada nível da trilha de Prevenção a Fraudes só pode alterar o status de casos sob sua própria responsabilidade ou de níveis inferiores; a transição para "Escalonado" (Seção 3.3) transfere a responsabilidade de edição ao nível superior no mesmo momento em que o caso é encaminhado.</w:t>
      </w:r>
    </w:p>
    <w:p>
      <w:pPr>
        <w:pStyle w:val="Heading1"/>
      </w:pPr>
      <w:r>
        <w:t>2. Prazos e SLAs</w:t>
      </w:r>
    </w:p>
    <w:p>
      <w:pPr>
        <w:pStyle w:val="Heading2"/>
      </w:pPr>
      <w:r>
        <w:t>2.1 Prazos de Investigação e Comunicação ao Cliente</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Etapa</w:t>
            </w:r>
          </w:p>
        </w:tc>
        <w:tc>
          <w:tcPr>
            <w:tcW w:type="dxa" w:w="4320"/>
          </w:tcPr>
          <w:p>
            <w:r>
              <w:rPr>
                <w:b/>
              </w:rPr>
              <w:t>Prazo</w:t>
            </w:r>
          </w:p>
        </w:tc>
      </w:tr>
      <w:tr>
        <w:tc>
          <w:tcPr>
            <w:tcW w:type="dxa" w:w="4320"/>
          </w:tcPr>
          <w:p>
            <w:r>
              <w:t>Abrir investigação após alerta ou relato</w:t>
            </w:r>
          </w:p>
        </w:tc>
        <w:tc>
          <w:tcPr>
            <w:tcW w:type="dxa" w:w="4320"/>
          </w:tcPr>
          <w:p>
            <w:r>
              <w:t>até 1 dia útil</w:t>
            </w:r>
          </w:p>
        </w:tc>
      </w:tr>
      <w:tr>
        <w:tc>
          <w:tcPr>
            <w:tcW w:type="dxa" w:w="4320"/>
          </w:tcPr>
          <w:p>
            <w:r>
              <w:t>Concluir investigação</w:t>
            </w:r>
          </w:p>
        </w:tc>
        <w:tc>
          <w:tcPr>
            <w:tcW w:type="dxa" w:w="4320"/>
          </w:tcPr>
          <w:p>
            <w:r>
              <w:t>até 5 dias úteis</w:t>
            </w:r>
          </w:p>
        </w:tc>
      </w:tr>
      <w:tr>
        <w:tc>
          <w:tcPr>
            <w:tcW w:type="dxa" w:w="4320"/>
          </w:tcPr>
          <w:p>
            <w:r>
              <w:t>Comunicar o cliente</w:t>
            </w:r>
          </w:p>
        </w:tc>
        <w:tc>
          <w:tcPr>
            <w:tcW w:type="dxa" w:w="4320"/>
          </w:tcPr>
          <w:p>
            <w:r>
              <w:t>até 2 dias úteis após a conclusão da investigação, ou imediatamente em caso de bloqueio preventivo</w:t>
            </w:r>
          </w:p>
        </w:tc>
      </w:tr>
    </w:tbl>
    <w:p/>
    <w:p>
      <w:r>
        <w:t>Todos os prazos deste documento são contados em dias úteis, conforme a convenção de que dia útil exclui sábados, domingos e feriados nacionais brasileiros — mesma convenção usada em todos os documentos da base de conhecimento do Code Bank.</w:t>
      </w:r>
    </w:p>
    <w:p>
      <w:pPr>
        <w:pStyle w:val="Heading2"/>
      </w:pPr>
      <w:r>
        <w:t>2.2 Prazo de Reporte a Reguladores</w:t>
      </w:r>
    </w:p>
    <w:p>
      <w:r>
        <w:t>Quando aplicável (Seção 5.1), o reporte interno a reguladores deve ocorrer em até 10 dias úteis a partir da conclusão da investigação.</w:t>
      </w:r>
    </w:p>
    <w:p>
      <w:pPr>
        <w:pStyle w:val="Heading2"/>
      </w:pPr>
      <w:r>
        <w:t>2.3 Prazo de Ressarcimento</w:t>
      </w:r>
    </w:p>
    <w:p>
      <w:r>
        <w:t>Confirmada a fraude, o ressarcimento ao cliente deve ocorrer em até 7 dias úteis a partir da confirmação, conforme detalhado na Seção 4.2.</w:t>
      </w:r>
    </w:p>
    <w:p>
      <w:pPr>
        <w:pStyle w:val="Heading2"/>
      </w:pPr>
      <w:r>
        <w:t>2.4 Acompanhamento do Cumprimento dos Prazos</w:t>
      </w:r>
    </w:p>
    <w:p>
      <w:r>
        <w:t>O cumprimento dos prazos desta Seção 2 é acompanhado por meio dos registros de data e hora mantidos automaticamente pelo CodeCase (Seção 1.4) a cada mudança de status, e compõe a auditoria periódica de qualidade de decisões de fraude conduzida pela Gerência de Risco e Fraude (Documento 1, Seção 3.3).</w:t>
      </w:r>
    </w:p>
    <w:p>
      <w:pPr>
        <w:pStyle w:val="Heading1"/>
      </w:pPr>
      <w:r>
        <w:t>3. Fluxo de Investigação — Passo a Passo</w:t>
      </w:r>
    </w:p>
    <w:p>
      <w:pPr>
        <w:pStyle w:val="Heading2"/>
      </w:pPr>
      <w:r>
        <w:t>3.1 Critérios de Priorização de Fila</w:t>
      </w:r>
    </w:p>
    <w:p>
      <w:r>
        <w:t>Quando múltiplos casos estão simultaneamente abertos, a ordem de atendimento pela trilha de Prevenção a Fraudes segue a faixa de risco atribuída pelo Code Shield (Documento 1, Seção 4.2): casos originados por transações classificadas como Risco Crítico têm prioridade sobre Risco Alto, que por sua vez têm prioridade sobre casos abertos por relato do cliente sem pontuação de risco elevada. Esta priorização não altera os prazos máximos da Seção 2 — mesmo um caso de menor prioridade na fila deve respeitar o prazo de abertura de até 1 dia útil.</w:t>
      </w:r>
    </w:p>
    <w:p>
      <w:pPr>
        <w:pStyle w:val="Heading2"/>
      </w:pPr>
      <w:r>
        <w:t>3.2 Etapa 1 — Abertura e Triagem</w:t>
      </w:r>
    </w:p>
    <w:p>
      <w:r>
        <w:t>Ao assumir um caso com status "Aberto" (Seção 1.2), o Analista de Prevenção a Fraudes deve, em até 1 dia útil (Seção 2.1):</w:t>
      </w:r>
    </w:p>
    <w:p>
      <w:pPr>
        <w:pStyle w:val="ListNumber"/>
      </w:pPr>
      <w:r>
        <w:t>Confirmar que os dados mínimos de abertura (Seção 1.3) estão completos, complementando-os se necessário;</w:t>
      </w:r>
    </w:p>
    <w:p>
      <w:pPr>
        <w:pStyle w:val="ListNumber"/>
      </w:pPr>
      <w:r>
        <w:t>Verificar se o valor envolvido já é, por si só, suficiente para determinar se está dentro da própria alçada (Documento 1, Seção 7.1). Caso exceda a alçada do Analista de Prevenção a Fraudes já nesta fase, o caso deve ser imediatamente escalonado (status "Escalonado", Seção 3.4), sem aguardar a conclusão da investigação;</w:t>
      </w:r>
    </w:p>
    <w:p>
      <w:pPr>
        <w:pStyle w:val="ListNumber"/>
      </w:pPr>
      <w:r>
        <w:t>Alterar o status do caso para "Em Análise" assim que a triagem inicial for concluída.</w:t>
      </w:r>
    </w:p>
    <w:p>
      <w:pPr>
        <w:pStyle w:val="Heading2"/>
      </w:pPr>
      <w:r>
        <w:t>3.3 Etapa 2 — Investigação Aprofundada</w:t>
      </w:r>
    </w:p>
    <w:p>
      <w:r>
        <w:t>Durante a investigação, o responsável pelo caso deve reunir e registrar no CodeCase os elementos necessários para concluir se há ou não fraude, incluindo, conforme aplicável: histórico transacional recente do cliente, dispositivo(s) utilizado(s), e informações adicionais solicitadas diretamente ao cliente. Quando o caso depender de informação ou confirmação do cliente, o status deve ser alterado para "Aguardando Cliente"; assim que a informação for recebida, o status retorna a "Em Análise". A investigação deve ser concluída dentro do prazo total de até 5 dias úteis (Seção 2.1), contado a partir da abertura do caso.</w:t>
      </w:r>
    </w:p>
    <w:p>
      <w:pPr>
        <w:pStyle w:val="Heading2"/>
      </w:pPr>
      <w:r>
        <w:t>3.4 Etapa 3 — Verificação de Alçada para Decisão</w:t>
      </w:r>
    </w:p>
    <w:p>
      <w:r>
        <w:t>A qualquer momento em que uma decisão de liberação, manutenção de bloqueio ou aplicação de exceção for necessária, o responsável pelo caso deve verificar se o valor envolvido está dentro de sua própria alçada, conforme a tabela do Documento 1, Seção 7.1. Se estiver, a decisão é tomada e registrada diretamente no CodeCase. Se exceder, o status do caso é alterado para "Escalonado" e o caso é transferido ao próximo nível da trilha de Prevenção a Fraudes (Documento 1, Seção 3.1), que assume a responsabilidade de edição (Seção 1.4) e retoma a investigação a partir do ponto em que foi interrompida — não há reincio da contagem de prazos da Seção 2.1. Quando o caso envolver as condições descritas no Documento 1, Seção 7.2, deve ser encaminhado diretamente ao Comitê de Risco e Fraude.</w:t>
      </w:r>
    </w:p>
    <w:p>
      <w:pPr>
        <w:pStyle w:val="Heading2"/>
      </w:pPr>
      <w:r>
        <w:t>3.5 Etapa 4 — Comunicação ao Cliente</w:t>
      </w:r>
    </w:p>
    <w:p>
      <w:r>
        <w:t>Uma vez tomada a decisão sobre o caso, o cliente deve ser comunicado dentro do prazo da Seção 2.1, pelos seguintes canais: aplicativo Code Bank (central de notificações), e-mail institucional, e SMS para casos urgentes de bloqueio preventivo. Em nenhuma hipótese o Analista de Relacionamento (Documento 1, Seção 3.2) deve ser o canal dessa comunicação quando o desfecho envolver fraude confirmada — a comunicação é sempre conduzida pela trilha de Prevenção a Fraudes ou por canal automatizado do aplicativo.</w:t>
      </w:r>
    </w:p>
    <w:p>
      <w:pPr>
        <w:pStyle w:val="Heading2"/>
      </w:pPr>
      <w:r>
        <w:t>3.6 Etapa 5 — Conclusão e Encerramento</w:t>
      </w:r>
    </w:p>
    <w:p>
      <w:r>
        <w:t>Concluída a investigação e comunicado o cliente, o caso recebe um dos dois status de conclusão previstos no Documento 1, Seção 8: "Confirmado – Fraude" ou "Confirmado – Falso Positivo". As exigências específicas de cada desfecho estão detalhadas na Seção 4. Após o cumprimento dessas exigências, o caso é alterado para "Encerrado". Um caso encerrado pode ser reaberto excepcionalmente, retornando ao status "Em Análise", mediante aprovação do Gerente de Risco e Fraude e desde que surjam novas evidências relevantes não disponíveis no momento do encerramento (Documento 1, Seção 8).</w:t>
      </w:r>
    </w:p>
    <w:p>
      <w:pPr>
        <w:pStyle w:val="Heading2"/>
      </w:pPr>
      <w:r>
        <w:t>3.7 Exemplo Ilustrativo de Ponta a Ponta</w:t>
      </w:r>
    </w:p>
    <w:p>
      <w:r>
        <w:t>Considere uma transferência Pix de R$ 1.200,00 para uma chave cadastrada há 6 horas, disparando o gatilho do Documento 1, Seção 5.2.3. O caso é aberto automaticamente no CodeCase (Seção 1.2) com status "Aberto". No mesmo dia útil, o Analista de Prevenção a Fraudes realiza a triagem (Seção 3.2): o valor está dentro de sua própria alçada (até R$ 2.000,00, Documento 1, Seção 7.1), portanto não há escalonamento nesta fase. O status muda para "Em Análise", e o analista solicita confirmação do cliente sobre a transferência, alterando o status para "Aguardando Cliente" (Seção 3.3). Recebida a resposta do cliente em 2 dias úteis, confirmando que não reconhece a transação, o status retorna a "Em Análise" e a investigação é concluída no 3º dia útil após a abertura — dentro do prazo de até 5 dias úteis (Seção 2.1). O Analista de Prevenção a Fraudes confirma a fraude, altera o status para "Confirmado – Fraude", aciona o MED (Seção 4.3) e comunica o cliente no mesmo dia (Seção 3.5). Como o caso envolve Pix e o valor está abaixo de R$ 5.000,00, não há exigência de Boletim de Ocorrência para o ressarcimento (Seção 4.2), que é processado em até 7 dias úteis a partir da confirmação (Seção 2.3). O caso é então encerrado.</w:t>
      </w:r>
    </w:p>
    <w:p>
      <w:r>
        <w:t>Em um segundo cenário, se o valor envolvido fosse R$ 15.000,00, a triagem inicial (Seção 3.2) já identificaria que o valor excede a alçada do Analista de Prevenção a Fraudes, escalonando o caso imediatamente ao Coordenador de Prevenção a Fraudes (status "Escalonado", Documento 1, Seção 7.1), que assume a investigação a partir desse ponto, sem reinício da contagem de prazos (Seção 3.4).</w:t>
      </w:r>
    </w:p>
    <w:p>
      <w:pPr>
        <w:pStyle w:val="Heading2"/>
      </w:pPr>
      <w:r>
        <w:t>3.8 Tratamento de Prazo em Risco (Falta de Resposta do Cliente)</w:t>
      </w:r>
    </w:p>
    <w:p>
      <w:r>
        <w:t>Quando o prazo de conclusão da investigação (Seção 2.1) se aproximar do limite de 5 dias úteis sem que o cliente tenha respondido a uma solicitação de informação (status "Aguardando Cliente", Seção 3.3), o responsável pelo caso deve tomar a decisão com base nas informações disponíveis até aquele momento, aplicando o princípio da proporcionalidade (Documento 1, Seção 1.4), e registrar no CodeCase que a decisão foi tomada sem confirmação do cliente. O prazo de investigação não é suspenso pela espera de resposta do cliente.</w:t>
      </w:r>
    </w:p>
    <w:p>
      <w:pPr>
        <w:pStyle w:val="Heading1"/>
      </w:pPr>
      <w:r>
        <w:t>4. Exigências Específicas por Desfecho</w:t>
      </w:r>
    </w:p>
    <w:p>
      <w:r>
        <w:t>As exigências abaixo se aplicam a partir do momento em que o caso recebe um dos dois status de conclusão (Seção 3.6).</w:t>
      </w:r>
    </w:p>
    <w:p>
      <w:pPr>
        <w:pStyle w:val="Heading2"/>
      </w:pPr>
      <w:r>
        <w:t>4.1 Confirmado – Falso Positivo</w:t>
      </w:r>
    </w:p>
    <w:p>
      <w:r>
        <w:t>Quando a investigação concluir que a transação era legítima, o responsável pelo caso deve: liberar imediatamente qualquer bloqueio pendente; comunicar o cliente conforme a Seção 3.5; e registrar no CodeCase os elementos que levaram à conclusão de falso positivo, para eventual uso na recalibração do motor Code Shield (Documento 1, Seção 4.3).</w:t>
      </w:r>
    </w:p>
    <w:p>
      <w:pPr>
        <w:pStyle w:val="Heading2"/>
      </w:pPr>
      <w:r>
        <w:t>4.2 Confirmado – Fraude: Boletim de Ocorrência e Ressarcimento</w:t>
      </w:r>
    </w:p>
    <w:p>
      <w:r>
        <w:t>A abertura de Boletim de Ocorrência pelo cliente não é exigida como condição para a abertura ou condução da investigação interna. É exigida, no entanto, como condição para o ressarcimento de valores acima de R$ 5.000,00, ou de qualquer valor quando o caso envolver conta laranja ou terceiros (Documento 4 – Glossário Técnico, para definição de conta laranja).</w:t>
      </w:r>
    </w:p>
    <w:p>
      <w:r>
        <w:t>Confirmada a fraude, o ressarcimento ao cliente ocorre em até 7 dias úteis (Seção 2.3), aprovado conforme a tabela de alçada do Documento 1, Seção 7.1 — ou seja, a mesma alçada que autoriza a liberação de um bloqueio também autoriza a aprovação do ressarcimento correspondente.</w:t>
      </w:r>
    </w:p>
    <w:p>
      <w:pPr>
        <w:pStyle w:val="Heading2"/>
      </w:pPr>
      <w:r>
        <w:t>4.3 Acionação do MED (Mecanismo Especial de Devolução)</w:t>
      </w:r>
    </w:p>
    <w:p>
      <w:r>
        <w:t>Quando o caso confirmado envolver transação via Pix, o Analista de Prevenção a Fraudes responsável deve acionar o MED seguindo as etapas abaixo:</w:t>
      </w:r>
    </w:p>
    <w:p>
      <w:pPr>
        <w:pStyle w:val="ListNumber"/>
      </w:pPr>
      <w:r>
        <w:t>Registrar o caso como "Confirmado – Fraude" no CodeCase;</w:t>
      </w:r>
    </w:p>
    <w:p>
      <w:pPr>
        <w:pStyle w:val="ListNumber"/>
      </w:pPr>
      <w:r>
        <w:t>Acionar o MED diretamente pela interface do Pix (DICT);</w:t>
      </w:r>
    </w:p>
    <w:p>
      <w:pPr>
        <w:pStyle w:val="ListNumber"/>
      </w:pPr>
      <w:r>
        <w:t>Solicitar o bloqueio cautelar dos valores identificados na conta de destino;</w:t>
      </w:r>
    </w:p>
    <w:p>
      <w:pPr>
        <w:pStyle w:val="ListNumber"/>
      </w:pPr>
      <w:r>
        <w:t>Acompanhar o prazo regulatório de devolução;</w:t>
      </w:r>
    </w:p>
    <w:p>
      <w:pPr>
        <w:pStyle w:val="ListNumber"/>
      </w:pPr>
      <w:r>
        <w:t>Notificar o cliente do desfecho, conforme Seção 3.5.</w:t>
      </w:r>
    </w:p>
    <w:p>
      <w:r>
        <w:t>O MED é um mecanismo do Banco Central do Brasil (Bacen), operado via Pix, para bloqueio cautelar e devolução de valores em casos de fraude comprovada; sua mecânica geral é regulatória e não é alterada por este procedimento.</w:t>
      </w:r>
    </w:p>
    <w:p>
      <w:pPr>
        <w:pStyle w:val="Heading1"/>
      </w:pPr>
      <w:r>
        <w:t>5. Reporte a Reguladores e Tratamento de Dados</w:t>
      </w:r>
    </w:p>
    <w:p>
      <w:pPr>
        <w:pStyle w:val="Heading2"/>
      </w:pPr>
      <w:r>
        <w:t>5.1 Reporte a Reguladores</w:t>
      </w:r>
    </w:p>
    <w:p>
      <w:r>
        <w:t>Quando o caso confirmado exigir reporte formal a reguladores — por exemplo, ao Banco Central do Brasil (Bacen), no contexto do MED (Seção 4.3) —, o reporte deve ser concluído em até 10 dias úteis (Seção 2.2), contados a partir da conclusão da investigação. O reporte deve conter, no mínimo, a identificação do caso no CodeCase, a tipologia de fraude identificada (Documento 1, Seção 9) e o desfecho da investigação. Caso algum reporte precise citar um normativo específico do Bacen por número, o colaborador responsável deve verificar a redação vigente no momento da citação — nenhum número de normativo deve ser citado de memória ou copiado de um caso anterior sem essa verificação.</w:t>
      </w:r>
    </w:p>
    <w:p>
      <w:pPr>
        <w:pStyle w:val="Heading2"/>
      </w:pPr>
      <w:r>
        <w:t>5.2 Tratamento de Dados Pessoais (LGPD)</w:t>
      </w:r>
    </w:p>
    <w:p>
      <w:r>
        <w:t>Toda coleta, registro e compartilhamento de dados pessoais do cliente durante a investigação — incluindo dados de contato, histórico transacional e informações fornecidas voluntariamente pelo cliente — deve observar a Lei Geral de Proteção de Dados (LGPD, Lei nº 13.709/2018). O acesso ao conteúdo de um caso no CodeCase deve ser restrito aos colaboradores diretamente envolvidos em sua condução (Seção 1.4), e qualquer compartilhamento externo de dados do caso — inclusive com reguladores (Seção 5.1) — deve se limitar ao estritamente necessário para a finalidade do reporte.</w:t>
      </w:r>
    </w:p>
    <w:p>
      <w:pPr>
        <w:pStyle w:val="Heading1"/>
      </w:pPr>
      <w:r>
        <w:t>6. Papéis e Responsabilidades no Fluxo</w:t>
      </w:r>
    </w:p>
    <w:p>
      <w:pPr>
        <w:pStyle w:val="Heading2"/>
      </w:pPr>
      <w:r>
        <w:t>6.1 Papel do Atendimento Durante a Investigação</w:t>
      </w:r>
    </w:p>
    <w:p>
      <w:r>
        <w:t>Ainda que o Analista de Relacionamento não integre a trilha de decisão de fraude (Documento 1, Seção 3.2), ele pode ser contatado pelo cliente para verificar o andamento de um caso já aberto. Nesses casos, o Analista de Relacionamento pode consultar o status do caso no CodeCase (Seção 1.4) e informá-lo ao cliente, mas não deve alterar o caso, antecipar o desfecho da investigação, ou se comprometer com prazos distintos dos definidos na Seção 2.</w:t>
      </w:r>
    </w:p>
    <w:p>
      <w:pPr>
        <w:pStyle w:val="Heading2"/>
      </w:pPr>
      <w:r>
        <w:t>6.2 Mapa de Responsabilidade por Etapa</w:t>
      </w:r>
    </w:p>
    <w:p>
      <w:r>
        <w:t>A tabela abaixo mapeia cada etapa deste procedimento ao cargo responsável; as definições de cargo e alçada permanecem, em sua íntegra, no Documento 1, Seções 3 e 7 — esta tabela não cria nem redefine nenhum cargo.</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Etapa</w:t>
            </w:r>
          </w:p>
        </w:tc>
        <w:tc>
          <w:tcPr>
            <w:tcW w:type="dxa" w:w="4320"/>
          </w:tcPr>
          <w:p>
            <w:r>
              <w:rPr>
                <w:b/>
              </w:rPr>
              <w:t>Responsável principal</w:t>
            </w:r>
          </w:p>
        </w:tc>
      </w:tr>
      <w:tr>
        <w:tc>
          <w:tcPr>
            <w:tcW w:type="dxa" w:w="4320"/>
          </w:tcPr>
          <w:p>
            <w:r>
              <w:t>Abertura e Triagem (Seção 3.2)</w:t>
            </w:r>
          </w:p>
        </w:tc>
        <w:tc>
          <w:tcPr>
            <w:tcW w:type="dxa" w:w="4320"/>
          </w:tcPr>
          <w:p>
            <w:r>
              <w:t>Analista de Prevenção a Fraudes</w:t>
            </w:r>
          </w:p>
        </w:tc>
      </w:tr>
      <w:tr>
        <w:tc>
          <w:tcPr>
            <w:tcW w:type="dxa" w:w="4320"/>
          </w:tcPr>
          <w:p>
            <w:r>
              <w:t>Investigação Aprofundada (Seção 3.3)</w:t>
            </w:r>
          </w:p>
        </w:tc>
        <w:tc>
          <w:tcPr>
            <w:tcW w:type="dxa" w:w="4320"/>
          </w:tcPr>
          <w:p>
            <w:r>
              <w:t>Analista de Prevenção a Fraudes, ou nível para o qual o caso tenha sido escalonado</w:t>
            </w:r>
          </w:p>
        </w:tc>
      </w:tr>
      <w:tr>
        <w:tc>
          <w:tcPr>
            <w:tcW w:type="dxa" w:w="4320"/>
          </w:tcPr>
          <w:p>
            <w:r>
              <w:t>Verificação de Alçada e Decisão (Seção 3.4)</w:t>
            </w:r>
          </w:p>
        </w:tc>
        <w:tc>
          <w:tcPr>
            <w:tcW w:type="dxa" w:w="4320"/>
          </w:tcPr>
          <w:p>
            <w:r>
              <w:t>Cargo cuja alçada (Documento 1, Seção 7.1) comporte o valor envolvido</w:t>
            </w:r>
          </w:p>
        </w:tc>
      </w:tr>
      <w:tr>
        <w:tc>
          <w:tcPr>
            <w:tcW w:type="dxa" w:w="4320"/>
          </w:tcPr>
          <w:p>
            <w:r>
              <w:t>Comunicação ao Cliente (Seção 3.5)</w:t>
            </w:r>
          </w:p>
        </w:tc>
        <w:tc>
          <w:tcPr>
            <w:tcW w:type="dxa" w:w="4320"/>
          </w:tcPr>
          <w:p>
            <w:r>
              <w:t>Responsável atual do caso</w:t>
            </w:r>
          </w:p>
        </w:tc>
      </w:tr>
      <w:tr>
        <w:tc>
          <w:tcPr>
            <w:tcW w:type="dxa" w:w="4320"/>
          </w:tcPr>
          <w:p>
            <w:r>
              <w:t>Acionação do MED (Seção 4.3)</w:t>
            </w:r>
          </w:p>
        </w:tc>
        <w:tc>
          <w:tcPr>
            <w:tcW w:type="dxa" w:w="4320"/>
          </w:tcPr>
          <w:p>
            <w:r>
              <w:t>Analista de Prevenção a Fraudes</w:t>
            </w:r>
          </w:p>
        </w:tc>
      </w:tr>
      <w:tr>
        <w:tc>
          <w:tcPr>
            <w:tcW w:type="dxa" w:w="4320"/>
          </w:tcPr>
          <w:p>
            <w:r>
              <w:t>Casos excepcionais (Documento 1, Seção 7.2)</w:t>
            </w:r>
          </w:p>
        </w:tc>
        <w:tc>
          <w:tcPr>
            <w:tcW w:type="dxa" w:w="4320"/>
          </w:tcPr>
          <w:p>
            <w:r>
              <w:t>Comitê de Risco e Fraude</w:t>
            </w:r>
          </w:p>
        </w:tc>
      </w:tr>
      <w:tr>
        <w:tc>
          <w:tcPr>
            <w:tcW w:type="dxa" w:w="4320"/>
          </w:tcPr>
          <w:p>
            <w:r>
              <w:t>Aprovação de reabertura de caso encerrado (Seção 3.6)</w:t>
            </w:r>
          </w:p>
        </w:tc>
        <w:tc>
          <w:tcPr>
            <w:tcW w:type="dxa" w:w="4320"/>
          </w:tcPr>
          <w:p>
            <w:r>
              <w:t>Gerente de Risco e Fraude</w:t>
            </w:r>
          </w:p>
        </w:tc>
      </w:tr>
    </w:tbl>
    <w:p/>
    <w:p>
      <w:pPr>
        <w:pStyle w:val="Heading1"/>
      </w:pPr>
      <w:r>
        <w:t>7. Revisão e Vigência</w:t>
      </w:r>
    </w:p>
    <w:p>
      <w:r>
        <w:t>Este procedimento está em vigor a partir de 01/06/2026 e deve ser revisado sempre que o Documento 1 – Política de Detecção de Fraude for revisado de forma que afete a estrutura organizacional, as alçadas ou os rótulos de status referenciados neste documento (Documento 1, Seção 11), ou sempre que qualquer prazo da Seção 2 for alterado. Toda alteração a este documento deve ser formalmente aprovada pela Gerência de Risco e Fraude, em conjunto com a área de Compliance.</w:t>
      </w:r>
    </w:p>
    <w:p>
      <w:r>
        <w:t>Histórico de Revisões: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Versão</w:t>
            </w:r>
          </w:p>
        </w:tc>
        <w:tc>
          <w:tcPr>
            <w:tcW w:type="dxa" w:w="2880"/>
          </w:tcPr>
          <w:p>
            <w:r>
              <w:rPr>
                <w:b/>
              </w:rPr>
              <w:t>Data</w:t>
            </w:r>
          </w:p>
        </w:tc>
        <w:tc>
          <w:tcPr>
            <w:tcW w:type="dxa" w:w="2880"/>
          </w:tcPr>
          <w:p>
            <w:r>
              <w:rPr>
                <w:b/>
              </w:rPr>
              <w:t>Descrição</w:t>
            </w:r>
          </w:p>
        </w:tc>
      </w:tr>
      <w:tr>
        <w:tc>
          <w:tcPr>
            <w:tcW w:type="dxa" w:w="2880"/>
          </w:tcPr>
          <w:p>
            <w:r>
              <w:t>1.0</w:t>
            </w:r>
          </w:p>
        </w:tc>
        <w:tc>
          <w:tcPr>
            <w:tcW w:type="dxa" w:w="2880"/>
          </w:tcPr>
          <w:p>
            <w:r>
              <w:t>01/06/2026</w:t>
            </w:r>
          </w:p>
        </w:tc>
        <w:tc>
          <w:tcPr>
            <w:tcW w:type="dxa" w:w="2880"/>
          </w:tcPr>
          <w:p>
            <w:r>
              <w:t>Emissão inicial deste procedimento.</w:t>
            </w:r>
          </w:p>
        </w:tc>
      </w:tr>
    </w:tbl>
    <w:p/>
    <w:p>
      <w:r>
        <w:br w:type="page"/>
      </w:r>
    </w:p>
    <w:p>
      <w:pPr>
        <w:pStyle w:val="Heading1"/>
      </w:pPr>
      <w:r>
        <w:t>Anexo A — Quadro-Resumo de Prazos (SLA) e Ciclo de Status</w:t>
      </w:r>
    </w:p>
    <w:p>
      <w:pPr>
        <w:pStyle w:val="Heading2"/>
      </w:pPr>
      <w:r>
        <w:t>A.1 Prazos (SLA)</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Etapa</w:t>
            </w:r>
          </w:p>
        </w:tc>
        <w:tc>
          <w:tcPr>
            <w:tcW w:type="dxa" w:w="4320"/>
          </w:tcPr>
          <w:p>
            <w:r>
              <w:rPr>
                <w:b/>
              </w:rPr>
              <w:t>Prazo</w:t>
            </w:r>
          </w:p>
        </w:tc>
      </w:tr>
      <w:tr>
        <w:tc>
          <w:tcPr>
            <w:tcW w:type="dxa" w:w="4320"/>
          </w:tcPr>
          <w:p>
            <w:r>
              <w:t>Abrir investigação</w:t>
            </w:r>
          </w:p>
        </w:tc>
        <w:tc>
          <w:tcPr>
            <w:tcW w:type="dxa" w:w="4320"/>
          </w:tcPr>
          <w:p>
            <w:r>
              <w:t>até 1 dia útil</w:t>
            </w:r>
          </w:p>
        </w:tc>
      </w:tr>
      <w:tr>
        <w:tc>
          <w:tcPr>
            <w:tcW w:type="dxa" w:w="4320"/>
          </w:tcPr>
          <w:p>
            <w:r>
              <w:t>Concluir investigação</w:t>
            </w:r>
          </w:p>
        </w:tc>
        <w:tc>
          <w:tcPr>
            <w:tcW w:type="dxa" w:w="4320"/>
          </w:tcPr>
          <w:p>
            <w:r>
              <w:t>até 5 dias úteis</w:t>
            </w:r>
          </w:p>
        </w:tc>
      </w:tr>
      <w:tr>
        <w:tc>
          <w:tcPr>
            <w:tcW w:type="dxa" w:w="4320"/>
          </w:tcPr>
          <w:p>
            <w:r>
              <w:t>Comunicar cliente</w:t>
            </w:r>
          </w:p>
        </w:tc>
        <w:tc>
          <w:tcPr>
            <w:tcW w:type="dxa" w:w="4320"/>
          </w:tcPr>
          <w:p>
            <w:r>
              <w:t>até 2 dias úteis após conclusão (ou imediato se já houve bloqueio preventivo)</w:t>
            </w:r>
          </w:p>
        </w:tc>
      </w:tr>
      <w:tr>
        <w:tc>
          <w:tcPr>
            <w:tcW w:type="dxa" w:w="4320"/>
          </w:tcPr>
          <w:p>
            <w:r>
              <w:t>Reportar a reguladores (quando aplicável)</w:t>
            </w:r>
          </w:p>
        </w:tc>
        <w:tc>
          <w:tcPr>
            <w:tcW w:type="dxa" w:w="4320"/>
          </w:tcPr>
          <w:p>
            <w:r>
              <w:t>até 10 dias úteis</w:t>
            </w:r>
          </w:p>
        </w:tc>
      </w:tr>
      <w:tr>
        <w:tc>
          <w:tcPr>
            <w:tcW w:type="dxa" w:w="4320"/>
          </w:tcPr>
          <w:p>
            <w:r>
              <w:t>Ressarcimento após fraude confirmada</w:t>
            </w:r>
          </w:p>
        </w:tc>
        <w:tc>
          <w:tcPr>
            <w:tcW w:type="dxa" w:w="4320"/>
          </w:tcPr>
          <w:p>
            <w:r>
              <w:t>até 7 dias úteis</w:t>
            </w:r>
          </w:p>
        </w:tc>
      </w:tr>
    </w:tbl>
    <w:p/>
    <w:p>
      <w:pPr>
        <w:pStyle w:val="Heading2"/>
      </w:pPr>
      <w:r>
        <w:t>A.2 Ciclo de Status (Documento 1, Seção 8)</w:t>
      </w:r>
    </w:p>
    <w:p>
      <w:r>
        <w:t>Aberto → Em Análise → Aguardando Cliente / Escalonado → Confirmado – Fraude ou Confirmado – Falso Positivo → Encerrado</w:t>
      </w:r>
    </w:p>
    <w:p>
      <w:pPr>
        <w:pStyle w:val="Heading2"/>
      </w:pPr>
      <w:r>
        <w:t>A.3 Exigência de Boletim de Ocorrência</w:t>
      </w:r>
    </w:p>
    <w:p>
      <w:r>
        <w:t>Não exigido para abrir a investigação. Exigido para ressarcimento acima de R$ 5.000,00, ou qualquer valor com conta laranja/terceiros.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Code Bank – Uso Interno – PROC-INCIDENTES-001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