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0" w:line="312" w:lineRule="auto"/>
        <w:rPr>
          <w:color w:val="2d3b45"/>
          <w:sz w:val="86"/>
          <w:szCs w:val="86"/>
        </w:rPr>
      </w:pPr>
      <w:bookmarkStart w:colFirst="0" w:colLast="0" w:name="_92omq3un91c1" w:id="0"/>
      <w:bookmarkEnd w:id="0"/>
      <w:r w:rsidDel="00000000" w:rsidR="00000000" w:rsidRPr="00000000">
        <w:rPr>
          <w:color w:val="2d3b45"/>
          <w:sz w:val="86"/>
          <w:szCs w:val="86"/>
          <w:rtl w:val="0"/>
        </w:rPr>
        <w:t xml:space="preserve">Actividad T14 y T15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Fecha de entrega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19 de feb a las 23:59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Puntos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Entregando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un cuadro de entrada de texto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56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Disponible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hasta el 19 de feb en 23:59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 debe realizar el estudio de 2 herramientas de documentación (MediaWiki, Doxygen, ...). Dicho estudio debe realizarse en un repositorio público de github en el que se harán al menos 3 commits. Para la entrega de la tarea, se debe facilitar la url de acceso al github público.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