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6B2233"/>
          <w:sz w:val="18"/>
          <w:szCs w:val="18"/>
        </w:rPr>
        <w:t xml:space="preserve">LEAP AFRICA</w:t>
      </w:r>
      <w:r>
        <w:rPr>
          <w:rFonts w:ascii="Calibri" w:cs="Calibri" w:eastAsia="Calibri" w:hAnsi="Calibri"/>
          <w:color w:val="6B6B6B"/>
          <w:sz w:val="16"/>
          <w:szCs w:val="16"/>
        </w:rPr>
        <w:t xml:space="preserve">		LEARNING RACE PLATFORM · CONCEPT NOTE</w:t>
      </w:r>
    </w:p>
    <w:p>
      <w:pPr>
        <w:pBdr>
          <w:top w:val="single" w:color="6B2233" w:sz="2"/>
          <w:bottom w:val="single" w:color="6B2233" w:sz="2"/>
          <w:left w:val="single" w:color="6B2233" w:sz="2"/>
          <w:right w:val="single" w:color="6B2233" w:sz="2"/>
        </w:pBdr>
        <w:shd w:fill="6B2233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C9922E"/>
          <w:sz w:val="16"/>
          <w:szCs w:val="16"/>
        </w:rPr>
        <w:t xml:space="preserve">  CONCEPT NOTE — v1.1 (Developed)</w:t>
      </w:r>
    </w:p>
    <w:p>
      <w:pPr>
        <w:shd w:fill="6B2233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  The Learning Race Platform</w:t>
      </w:r>
    </w:p>
    <w:p>
      <w:pPr>
        <w:shd w:fill="6B2233" w:color="auto" w:val="clear"/>
        <w:spacing w:after="160"/>
      </w:pPr>
      <w:r>
        <w:rPr>
          <w:rFonts w:ascii="Calibri" w:cs="Calibri" w:eastAsia="Calibri" w:hAnsi="Calibri"/>
          <w:i/>
          <w:iCs/>
          <w:color w:val="C9922E"/>
          <w:sz w:val="24"/>
          <w:szCs w:val="24"/>
        </w:rPr>
        <w:t xml:space="preserve">  A gamified annual learning &amp; development platform that turns skills growth into a shared journey.  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1560"/>
        <w:gridCol w:w="1860"/>
        <w:gridCol w:w="3600"/>
      </w:tblGrid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PREPARED BY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VERSION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DATE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6B6B"/>
                <w:sz w:val="15"/>
                <w:szCs w:val="15"/>
              </w:rPr>
              <w:t xml:space="preserve">AUDIENCE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LEAP Africa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Draft 1.1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July 2026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Leadership · Board · Product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Learning at work too often stalls after the annual training budget is spent. The Learning Race Platform reimagines professional development as an energising, year-long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race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one where every colleague can see their own progress, cheer on their peers, and cross a shared finish line together. This note sets out the problem we are solving, how the platform works, and what it will take to build. </w:t>
      </w: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This v1.1 develops the original concept with fairness safeguards, stronger proof-of-learning, defined success targets, a commercial/tenancy model, and an adoption plan.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 ·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Learning Race Platform is a web application that guides every employee through a personalised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Annual Learning Pathway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from identifying skill gaps, to following a curated learning plan, to proving completion with verified evidence. It combines four ideas that rarely sit together in one product: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7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Personalised by design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 knowledge-gap survey and manager input feed an AI engine that builds a quarter-by-quarter pathway matched to real learning resources and a defined competency taxonomy.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Motivating by default</w:t>
            </w:r>
          </w:p>
        </w:tc>
        <w:tc>
          <w:tcPr>
            <w:tcW w:type="dxa" w:w="67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 visual race track, cohort-fair leaderboards, badges, streaks and team challenges turn quiet individual effort into visible, shared momentum.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Accountable end to 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Manager and HR approval gates, multi-type completion evidence, and a full audit trail keep the programme credible and measurable.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Intelligent throughout</w:t>
            </w:r>
          </w:p>
        </w:tc>
        <w:tc>
          <w:tcPr>
            <w:tcW w:type="dxa" w:w="67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An AI coach, smart re-routing for those falling behind, and predictive completion scores keep every learner on track.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for LEAP Africa's own team and designed to be offered to partner organisations as multi-tenant SaaS, the platform is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mobile-first, responsive, and works offline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so learning fits around real work, wherever it happens.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2 · The problem we are solving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Organisations invest heavily in learning and development, yet the return is hard to see and harder to sustain. The same patterns repeat year after year: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Generic pathways.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Everyone is offered the same catalogue, regardless of role, confidence, or the specific gaps their manager already knows about.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Low completion.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Courses are started with enthusiasm and abandoned quietly. Without visibility or accountability, learning slips beneath day-to-day 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No shared momentum.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Learning is a solitary, invisible act. Colleagues have no idea who is growing, in what, or how to help one another.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Weak proof.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“Completed” often means “clicked through”. There is rarely credible evidence that a skill was actually acquired.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Blind spots for leaders.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Managers and HR cannot see who is thriving, who is at risk, or which resources are worth the money — until the year is over.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Slow to set up.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Standing up each employee's plan is a manual, back-and-forth effort — so learning often starts late, eating into the very year it is meant to cover.</w:t>
      </w:r>
    </w:p>
    <w:p>
      <w:pPr>
        <w:pBdr>
          <w:left w:val="single" w:color="C9922E" w:sz="18" w:space="8"/>
        </w:pBdr>
        <w:shd w:fill="F3EEE7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6B2233"/>
          <w:sz w:val="21"/>
          <w:szCs w:val="21"/>
        </w:rPr>
        <w:t xml:space="preserve">The opportunity.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If we make learning personal, visible and rewarding — and if we prove completion rather than assume it — development stops being a compliance exercise and becomes something people genuinely want to win at.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3 · Objectives, goals &amp; success targets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platform is built around six objectives. Each carries a measurable goal we can track from day one. Baselines are captured in the first survey cycle; Year-1 targets below are proposed for board sign-off.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43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Year-1 target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Set up the year faster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Days from survey to approved, ready-to-start pathway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≤ 5 working days (from ~weeks)</w:t>
            </w:r>
          </w:p>
        </w:tc>
      </w:tr>
      <w:tr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Personalise every pathway</w:t>
            </w:r>
          </w:p>
        </w:tc>
        <w:tc>
          <w:tcPr>
            <w:tcW w:type="dxa" w:w="43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% of active employees with an approved annual pathway</w:t>
            </w:r>
          </w:p>
        </w:tc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Lift completion rates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Evidence-verified completion of learning items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≥ 70%, and +10 pts year on year</w:t>
            </w:r>
          </w:p>
        </w:tc>
      </w:tr>
      <w:tr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Make learning visible</w:t>
            </w:r>
          </w:p>
        </w:tc>
        <w:tc>
          <w:tcPr>
            <w:tcW w:type="dxa" w:w="43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Weekly active users on the race track</w:t>
            </w:r>
          </w:p>
        </w:tc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≥ 60% of staff, weekly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Prove skill growth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Change in assessed competency score (start vs end)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+1.0 average (5-point scale)</w:t>
            </w:r>
          </w:p>
        </w:tc>
      </w:tr>
      <w:tr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Give leaders early sight</w:t>
            </w:r>
          </w:p>
        </w:tc>
        <w:tc>
          <w:tcPr>
            <w:tcW w:type="dxa" w:w="43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At-risk flags actioned before the deadline passes</w:t>
            </w:r>
          </w:p>
        </w:tc>
        <w:tc>
          <w:tcPr>
            <w:tcW w:type="dxa" w:w="25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≥ 80%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4 · How it works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annual learning year runs as a seven-step journey, from surfacing gaps to crossing the finish line. Steps 1–5 set the pathway; steps 6–7 are where learners spend the year.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1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Knowledge Gap Survey — Employee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 the start of the learning year, the employee completes a survey covering learning categories relevant to their role and to organisational growth, giving a self-rated skill-confidence score (1–5) per category. Results seed the AI pathway. The survey draws on a defined competency taxonomy (e.g. Leadership, Communication, Role/Technical, Digital, Compliance) so responses map cleanly to resources.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2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Manager Recommendation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line manager submits a recommendation form, highlighting the learning and improvement areas they believe matter most for the employee this year. This becomes a second input to the AI.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3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Resource Library — HR Admin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HR Admin uploads resources as external links — URL, title, category and type (free or paid) — categorised by learning area so the AI can match them to identified gaps. Each item can be tagged with the evidence type required for completion (certificate, attestation, or skills check).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4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AI Generates the Learning Pathway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AI weighs the survey, manager input and available resources, cross-referencing resources against gaps. Where no internal resource fits an essential gap, it suggests a free or paid external option — clearly flagged as AI-suggested, pending approval. Paid items surface their cost and route through spend approval. The output is a structured pathway across Q1–Q4, each item carrying a title, resource link, category, estimated duration, evidence type and assigned quarter.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5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Approval Flow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pathway goes to both the Manager and HR Admin. Both must approve before the employee can begin; either can request edits first. Reminders, edit-request flows and clear queues (with escalation paths) keep approvals from becoming a bottleneck. Once approved, the employee is notified and the journey starts.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6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Progress Tracking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Employees log progress against checkpoints — 25% → 50% → 75% → 100%. At 100%, the required completion evidence must be provided (uploaded certificate, manager attestation, or a short built-in skills check) plus a brief reflection note on how the learning will be applied. This evidence is the official mark of completion, saved per item and per quarter.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6B2233" w:color="auto" w:val="clear"/>
        </w:rPr>
        <w:t xml:space="preserve">  7  </w:t>
      </w:r>
      <w:r>
        <w:rPr>
          <w:rFonts w:ascii="Calibri" w:cs="Calibri" w:eastAsia="Calibri" w:hAnsi="Calibri"/>
          <w:b/>
          <w:bCs/>
          <w:color w:val="6B2233"/>
          <w:sz w:val="22"/>
          <w:szCs w:val="22"/>
        </w:rPr>
        <w:t xml:space="preserve">  The Learning Journey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year is divided into Q1–Q4, each quarter with its own items and deadlines. Employees view their full-year roadmap at a glance and watch their race-track position advance as they progress.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5 · Roles &amp; user types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Four roles, each with a dedicated login and dashboard. Every user can set a profile avatar — choosing a preset or uploading their own photo.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responsibilities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Employee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Fills the knowledge-gap survey, receives and follows the learning pathway, logs progress, provides completion evidence, rates skill confidence, and races on the track.</w:t>
            </w:r>
          </w:p>
        </w:tc>
      </w:tr>
      <w:tr>
        <w:tc>
          <w:tcPr>
            <w:tcW w:type="dxa" w:w="21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Manager</w:t>
            </w:r>
          </w:p>
        </w:tc>
        <w:tc>
          <w:tcPr>
            <w:tcW w:type="dxa" w:w="72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Reviews direct reports, submits recommendations, approves or requests edits on pathways, monitors team progress and risk flags, and sends shoutouts.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HR Admin</w:t>
            </w:r>
          </w:p>
        </w:tc>
        <w:tc>
          <w:tcPr>
            <w:tcW w:type="dxa" w:w="7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Uploads and manages learning resources, approves pathways and spend, and views org-wide analytics and resource-utilisation reports.</w:t>
            </w:r>
          </w:p>
        </w:tc>
      </w:tr>
      <w:tr>
        <w:tc>
          <w:tcPr>
            <w:tcW w:type="dxa" w:w="21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2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Manages all users, roles and permissions across tenants, and holds access to the full audit trail.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6 · Gamification &amp; engagement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Motivation is engineered into the product, not bolted on. The mechanics make individual effort visible and collective progress rewarding — while staying fair and psychologically safe.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The Race Track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visual race track anchors the main dashboard. Each employee appears as an avatar on the track, advancing with their overall completion percentage. The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finish line requires all completion evidence submitted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100% completion of all items. The track is visible to all users, so progress is shared, not hidden.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Fair, opt-in ranking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race track stays shared and celebratory, but ranking is cohort-based by default (same role family, tenure band or department) rather than one global league — so a new hire is never ranked against a ten-year veteran. Individuals choose whether to compete publicly or track privately.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Leaderboard, badges &amp; streaks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Leaderboard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ranks employees by progress within their cohort, sortable by overall completion, individual quarter, department or team — with verified completion as the definitive ranking criterion.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Progress badges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unlock at each checkpoint (25/50/75/100%), with special quarterly badges when a full quarter is complete.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Quality signals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reward depth as well as speed: on-time (not rushed) completion, peer-review scores on reflections, and mentoring given — so the culture rewards learning, not certificate-farming.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Seasonal trophies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go to Q1–Q4 winners, and a permanent Hall of Fame recognises those who finish their full annual journey.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Streaks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reward employees who log progress consistently (e.g. weekly), with the streak count shown on their profile.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Team challenges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Departments and teams can compete collectively on the race track, with team progress calculated as the average of members' individual completion — turning learning into a group effort.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7 · AI features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Beyond pathway generation, AI works quietly through the year to keep every learner supported and on pace.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AI Progress Coach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An always-available chat assistant. Employees ask for guidance, motivation or clarification on their materials, and the coach suggests next steps based on current progress.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Smart Re-routing</w:t>
            </w:r>
          </w:p>
        </w:tc>
        <w:tc>
          <w:tcPr>
            <w:tcW w:type="dxa" w:w="67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If an employee falls behind, the AI generates a revised, more achievable pathway — and notifies their Manager and HR that a re-route was triggered.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Predictive Completion Score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Predicts each learner's likelihood of finishing on time and surfaces at-risk employees to their Manager and HR with an alert card, in time to intervene.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Skill Confidence Tracking</w:t>
            </w:r>
          </w:p>
        </w:tc>
        <w:tc>
          <w:tcPr>
            <w:tcW w:type="dxa" w:w="67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Tracks skill-confidence movement across the year and flags whether reinforcement learning is needed before moving on — read alongside an objective competency check to separate perception from proof.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8 · Analytics, notifications &amp; collaboration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Dashboards &amp; reporting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role sees the data that matters to them. Employees track their pathway, race position, badges and a skill-growth chart. Managers see reports, risk flags and team-vs-average comparisons. HR sees org-wide completion rates, engagement by department, resource-utilisation and an ROI tracker linking learning to performance-review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Skill Growth Report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visual chart of skill level from the start of the year to now, showing self-rated confidence next to assessed competency.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Time-to-complete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average time taken per learning item.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Activity heatmap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calendar showing when employees are most active.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Exportable reports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learning reports downloadable as PDF or CSV.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Notifications &amp; reminders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Milestone hits notify users as a motivator; approaching deadlines remind the employee, their manager and HR. Everything surfaces in an in-app Notification Centre with user-managed preferences (in-app and email), and managers can post public shoutouts to the feed.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Social &amp; collaboration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Employees who complete a topic can be flagged as internal mentors, available for peer sessions. Learners leave short reviews and tips on resources, and a live shoutout feed broadcasts milestones and recognition to everyone.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9 · Technical approach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platform is built on a modern, well-supported stack chosen for speed of delivery, reliability and low operating cost.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5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React with Tailwind CSS — a fully responsive, mobile-first UI with smooth animations for race-track movement and badge unlocks.</w:t>
            </w:r>
          </w:p>
        </w:tc>
      </w:tr>
      <w:tr>
        <w:tc>
          <w:tcPr>
            <w:tcW w:type="dxa" w:w="18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Supabase for authentication, database and file storage (evidence uploads in PDF and image formats), with row-level security enforcing per-tenant isolation from Phase 1.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An AI API (OpenAI or equivalent) powering pathway generation, the Progress Coach, smart re-routing and predictive completion scoring.</w:t>
            </w:r>
          </w:p>
        </w:tc>
      </w:tr>
      <w:tr>
        <w:tc>
          <w:tcPr>
            <w:tcW w:type="dxa" w:w="18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Dark-mode toggle for all users; multi-language architecture (English at launch); offline mode to view pathways and log progress, syncing on reconnect.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Proof-of-learning integrity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Completion accepts three evidence types — uploaded certificate, manager attestation (for internal or experiential learning), or a short built-in skills check for high-priority competencies. HR/Managers can mark high-stakes uploads “verified”, and the audit trail records every action, so “completed” always means credible.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Budget governance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AI can suggest paid external courses but cannot commit spend. Paid items route to HR with their cost against a visible per-employee / per-department annual learning budget; free and internal resources are preferred by default.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Governance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Learning Resource Quality Score lets HR see employee ratings and replace poor-performing resources, so the catalogue improves over time.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5502A"/>
          <w:sz w:val="24"/>
          <w:szCs w:val="24"/>
        </w:rPr>
        <w:t xml:space="preserve">Future-ready integrations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architecture is designed to support later integrations without re-platforming: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LinkedIn Learning, Coursera and Udemy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(auto-pull courses by skill gap),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Google Calendar and Outlook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(sync deadlines), and HRIS systems such as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Workday and BambooHR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(auto-populate employee data).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10 · Commercial &amp; tenancy model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Because “offered to partner organisations” is architectural, the tenancy model is fixed from Phase 1: the platform is multi-tenant, with org-level data isolation, even while LEAP is the only tenant at launch. Three delivery tiers give the board a revenue story to weigh against the recurring AI and infrastructure costs in §13.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37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LEAP internal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LEAP Africa's own team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Cost centre; proves the product and seeds case studies.</w:t>
            </w:r>
          </w:p>
        </w:tc>
      </w:tr>
      <w:tr>
        <w:tc>
          <w:tcPr>
            <w:tcW w:type="dxa" w:w="21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Partner SaaS</w:t>
            </w:r>
          </w:p>
        </w:tc>
        <w:tc>
          <w:tcPr>
            <w:tcW w:type="dxa" w:w="35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Small &amp; mid-size partner orgs</w:t>
            </w:r>
          </w:p>
        </w:tc>
        <w:tc>
          <w:tcPr>
            <w:tcW w:type="dxa" w:w="37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Per-seat, per-year subscription; self-serve onboarding.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Larger partners &amp; networks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Branded deployment; premium tier with dedicated support.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11 · Implementation phases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Delivery is phased so value ships early and the harder, higher-risk features build on a proven core. Timings are indicative and would be firmed up at kick-off.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000"/>
        <w:gridCol w:w="2100"/>
        <w:gridCol w:w="5260"/>
      </w:tblGrid>
      <w:tr>
        <w:trPr>
          <w:tblHeader/>
        </w:trPr>
        <w:tc>
          <w:tcPr>
            <w:tcW w:type="dxa" w:w="20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2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Phase 1</w:t>
            </w: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  ~Months 1–3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Roles &amp; auth (multi-tenant), profiles &amp; avatars, survey and manager recommendation, resource upload, core dashboards.</w:t>
            </w:r>
          </w:p>
        </w:tc>
      </w:tr>
      <w:tr>
        <w:tc>
          <w:tcPr>
            <w:tcW w:type="dxa" w:w="20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Phase 2</w:t>
            </w: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  ~Months 3–5</w:t>
            </w:r>
          </w:p>
        </w:tc>
        <w:tc>
          <w:tcPr>
            <w:tcW w:type="dxa" w:w="21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Pathways &amp; approval</w:t>
            </w:r>
          </w:p>
        </w:tc>
        <w:tc>
          <w:tcPr>
            <w:tcW w:type="dxa" w:w="52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AI pathway generation, dual approval flow, progress checkpoints, evidence upload, quarterly roadmap.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Phase 3</w:t>
            </w: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  ~Months 5–7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Race track, cohort-fair leaderboard, badges, streaks, team challenges, shoutout feed and Hall of Fame.</w:t>
            </w:r>
          </w:p>
        </w:tc>
      </w:tr>
      <w:tr>
        <w:tc>
          <w:tcPr>
            <w:tcW w:type="dxa" w:w="20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Phase 4</w:t>
            </w: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  ~Months 7–9</w:t>
            </w:r>
          </w:p>
        </w:tc>
        <w:tc>
          <w:tcPr>
            <w:tcW w:type="dxa" w:w="21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Intelligence &amp; analytics</w:t>
            </w:r>
          </w:p>
        </w:tc>
        <w:tc>
          <w:tcPr>
            <w:tcW w:type="dxa" w:w="52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AI coach, smart re-routing, predictive scoring, full analytics suite, exportable reports.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Phase 5</w:t>
            </w:r>
            <w:r>
              <w:rPr>
                <w:rFonts w:ascii="Calibri" w:cs="Calibri" w:eastAsia="Calibri" w:hAnsi="Calibri"/>
                <w:color w:val="6B6B6B"/>
                <w:sz w:val="16"/>
                <w:szCs w:val="16"/>
              </w:rPr>
              <w:t xml:space="preserve">  ~Months 9+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Scale &amp; integrate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Offline mode, multi-language, external LMS/calendar/HRIS integrations, partner SaaS onboarding, ROI tracker refinement.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12 · Adoption &amp; change management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biggest risk to any L&amp;D tool is not the build — it is that people do not use it. Adoption is designed in: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Launch as a season.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Open with a kickoff event (“Season 1 starts Monday”), not a quiet rollout, so the race track fills up visibly from week one.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Manager accountability.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Team completion appears on each manager's own dashboard and feeds into their performance conversations.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Early wins.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Q1 quick-win item everyone can complete in the first week builds immediate momentum.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5A1C2B"/>
          <w:sz w:val="21"/>
          <w:szCs w:val="21"/>
        </w:rPr>
        <w:t xml:space="preserve">Recognition cadence.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Monthly shoutouts and a quarterly trophy ceremony sustain energy across the year.</w:t>
      </w:r>
    </w:p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13 · Risks &amp; mitigations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/ assumption</w:t>
            </w:r>
          </w:p>
        </w:tc>
        <w:tc>
          <w:tcPr>
            <w:tcW w:type="dxa" w:w="59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Competition demotivates slower learners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Cohort-based, opt-in ranking; the shared race track celebrates progress rather than exposing a single global league table.</w:t>
            </w:r>
          </w:p>
        </w:tc>
      </w:tr>
      <w:tr>
        <w:tc>
          <w:tcPr>
            <w:tcW w:type="dxa" w:w="34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Manual progress logging is gamed</w:t>
            </w:r>
          </w:p>
        </w:tc>
        <w:tc>
          <w:tcPr>
            <w:tcW w:type="dxa" w:w="59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Multi-type completion evidence plus verification flags; the audit trail records every action.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Self-rated confidence isn't proof of skill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Objective competency checks reported alongside confidence; “prove skill growth” rests on assessed movement.</w:t>
            </w:r>
          </w:p>
        </w:tc>
      </w:tr>
      <w:tr>
        <w:tc>
          <w:tcPr>
            <w:tcW w:type="dxa" w:w="34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Manager/HR approval becomes a bottleneck</w:t>
            </w:r>
          </w:p>
        </w:tc>
        <w:tc>
          <w:tcPr>
            <w:tcW w:type="dxa" w:w="59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Reminders, edit-request flows and clear queues keep approvals moving; escalation paths for stalls.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Uncontrolled spend on AI-suggested paid courses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Spend-approval step and visible budget caps; free/internal resources preferred by default.</w:t>
            </w:r>
          </w:p>
        </w:tc>
      </w:tr>
      <w:tr>
        <w:tc>
          <w:tcPr>
            <w:tcW w:type="dxa" w:w="34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Data privacy &amp; evidence storage</w:t>
            </w:r>
          </w:p>
        </w:tc>
        <w:tc>
          <w:tcPr>
            <w:tcW w:type="dxa" w:w="59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Role-based access, per-tenant isolation, secure Supabase storage, and clear retention rules for uploaded documents.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Assumption: resource availability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Assumes HR maintains a current, categorised resource library; the quality score keeps it healthy.</w:t>
            </w:r>
          </w:p>
        </w:tc>
      </w:tr>
    </w:tbl>
    <w:p>
      <w:pPr>
        <w:pStyle w:val="Heading1"/>
        <w:pBdr>
          <w:bottom w:val="single" w:color="C9922E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6B2233"/>
          <w:sz w:val="30"/>
          <w:szCs w:val="30"/>
        </w:rPr>
        <w:t xml:space="preserve">14 · Budget &amp; resourcing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full costing follows scoping, but the indicative shape below shows where investment is needed. Figures are placeholders to be confirmed with the delivery team.</w:t>
      </w:r>
    </w:p>
    <w:tbl>
      <w:tblPr>
        <w:tblW w:type="dxa" w:w="9360"/>
        <w:tblBorders>
          <w:top w:val="single" w:color="D9CFC4" w:sz="2"/>
          <w:left w:val="none"/>
          <w:bottom w:val="single" w:color="D9CFC4" w:sz="2"/>
          <w:right w:val="none"/>
          <w:insideH w:val="single" w:color="E5DDD3" w:sz="2"/>
          <w:insideV w:val="none"/>
        </w:tblBorders>
      </w:tblPr>
      <w:tblGrid>
        <w:gridCol w:w="2600"/>
        <w:gridCol w:w="3700"/>
        <w:gridCol w:w="3060"/>
      </w:tblGrid>
      <w:tr>
        <w:trPr>
          <w:tblHeader/>
        </w:trPr>
        <w:tc>
          <w:tcPr>
            <w:tcW w:type="dxa" w:w="26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70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Resourcing</w:t>
            </w:r>
          </w:p>
        </w:tc>
        <w:tc>
          <w:tcPr>
            <w:tcW w:type="dxa" w:w="3060"/>
            <w:shd w:fill="6B22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Product lead + designer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One-off build, part-time thereafter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2–3 full-stack engineers (React / Supabase)</w:t>
            </w:r>
          </w:p>
        </w:tc>
        <w:tc>
          <w:tcPr>
            <w:tcW w:type="dxa" w:w="30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Phased build over ~9 months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AI usage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AI API (pathways, coach, scoring)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Recurring — scales with active users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Backend &amp; storage</w:t>
            </w:r>
          </w:p>
        </w:tc>
        <w:tc>
          <w:tcPr>
            <w:tcW w:type="dxa" w:w="37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Supabase (auth, database, file storage)</w:t>
            </w:r>
          </w:p>
        </w:tc>
        <w:tc>
          <w:tcPr>
            <w:tcW w:type="dxa" w:w="30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Recurring — tiered by usage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Learning content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Free + paid external resources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Recurring — varies by pathway mix</w:t>
            </w:r>
          </w:p>
        </w:tc>
      </w:tr>
      <w:tr>
        <w:tc>
          <w:tcPr>
            <w:tcW w:type="dxa" w:w="26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370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Ongoing engineering + admin time</w:t>
            </w:r>
          </w:p>
        </w:tc>
        <w:tc>
          <w:tcPr>
            <w:tcW w:type="dxa" w:w="3060"/>
            <w:shd w:fill="F5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Recurring post-launch</w:t>
            </w:r>
          </w:p>
        </w:tc>
      </w:tr>
    </w:tbl>
    <w:p>
      <w:pPr>
        <w:pBdr>
          <w:left w:val="single" w:color="C9922E" w:sz="18" w:space="8"/>
        </w:pBdr>
        <w:shd w:fill="F3EEE7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6B2233"/>
          <w:sz w:val="21"/>
          <w:szCs w:val="21"/>
        </w:rPr>
        <w:t xml:space="preserve">Next step.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With this developed concept approved in principle, the immediate asks are to: confirm scope for Phase 1, finalise the competency taxonomy and survey question set, agree the Year-1 success targets, and set a delivery budget so build can begin.</w:t>
      </w:r>
    </w:p>
    <w:p>
      <w:pPr>
        <w:pBdr>
          <w:top w:val="single" w:color="D9CFC4" w:sz="6" w:space="6"/>
        </w:pBdr>
        <w:tabs>
          <w:tab w:val="right" w:pos="9026"/>
        </w:tabs>
        <w:spacing w:before="300"/>
      </w:pPr>
      <w:r>
        <w:rPr>
          <w:rFonts w:ascii="Calibri" w:cs="Calibri" w:eastAsia="Calibri" w:hAnsi="Calibri"/>
          <w:b/>
          <w:bCs/>
          <w:color w:val="6B2233"/>
          <w:sz w:val="16"/>
          <w:szCs w:val="16"/>
        </w:rPr>
        <w:t xml:space="preserve">LEAP AFRICA</w:t>
      </w:r>
      <w:r>
        <w:rPr>
          <w:rFonts w:ascii="Calibri" w:cs="Calibri" w:eastAsia="Calibri" w:hAnsi="Calibri"/>
          <w:color w:val="6B6B6B"/>
          <w:sz w:val="15"/>
          <w:szCs w:val="15"/>
        </w:rPr>
        <w:t xml:space="preserve">  ·  Raising leaders · transforming Africa</w:t>
      </w:r>
      <w:r>
        <w:rPr>
          <w:rFonts w:ascii="Calibri" w:cs="Calibri" w:eastAsia="Calibri" w:hAnsi="Calibri"/>
          <w:color w:val="6B6B6B"/>
          <w:sz w:val="15"/>
          <w:szCs w:val="15"/>
        </w:rPr>
        <w:t xml:space="preserve">	CONFIDENTIAL DRAFT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92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Learning Race Platform — Concept Note v1.1</dc:title>
  <dc:creator>LEAP Africa</dc:creator>
  <cp:lastModifiedBy>Un-named</cp:lastModifiedBy>
  <cp:revision>1</cp:revision>
  <dcterms:created xsi:type="dcterms:W3CDTF">2026-07-20T11:14:16.837Z</dcterms:created>
  <dcterms:modified xsi:type="dcterms:W3CDTF">2026-07-20T11:14:16.837Z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