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LINDSAY M. TEDDS</w:t>
      </w:r>
    </w:p>
    <w:p>
      <w:pPr>
        <w:spacing w:after="80"/>
        <w:jc w:val="center"/>
      </w:pPr>
      <w:r>
        <w:rPr>
          <w:rFonts w:ascii="Arial" w:cs="Arial" w:eastAsia="Arial" w:hAnsi="Arial"/>
          <w:i/>
          <w:iCs/>
          <w:sz w:val="20"/>
          <w:szCs w:val="20"/>
        </w:rPr>
        <w:t xml:space="preserve">Professor, Department of Economics, University of Calgary</w:t>
      </w:r>
    </w:p>
    <w:p>
      <w:pPr>
        <w:spacing w:after="60"/>
        <w:jc w:val="center"/>
      </w:pPr>
      <w:r>
        <w:rPr>
          <w:rFonts w:ascii="Arial" w:cs="Arial" w:eastAsia="Arial" w:hAnsi="Arial"/>
          <w:sz w:val="20"/>
          <w:szCs w:val="20"/>
        </w:rPr>
        <w:t xml:space="preserve">lindsay.tedds1@ucalgary.ca</w:t>
      </w:r>
      <w:r>
        <w:rPr>
          <w:rFonts w:ascii="Arial" w:cs="Arial" w:eastAsia="Arial" w:hAnsi="Arial"/>
          <w:color w:val="AAAAAA"/>
          <w:sz w:val="20"/>
          <w:szCs w:val="20"/>
        </w:rPr>
        <w:t xml:space="preserve">  |  </w:t>
      </w:r>
      <w:r>
        <w:rPr>
          <w:rFonts w:ascii="Arial" w:cs="Arial" w:eastAsia="Arial" w:hAnsi="Arial"/>
          <w:sz w:val="20"/>
          <w:szCs w:val="20"/>
        </w:rPr>
        <w:t xml:space="preserve">Citizenship: Canadian, Irish, United Kingdom</w:t>
      </w:r>
    </w:p>
    <w:p>
      <w:pPr>
        <w:spacing w:after="60"/>
        <w:jc w:val="center"/>
      </w:pPr>
      <w:r>
        <w:rPr>
          <w:rFonts w:ascii="Arial" w:cs="Arial" w:eastAsia="Arial" w:hAnsi="Arial"/>
          <w:sz w:val="20"/>
          <w:szCs w:val="20"/>
        </w:rPr>
        <w:t xml:space="preserve">www.lindsaytedds.ca</w:t>
      </w:r>
      <w:r>
        <w:rPr>
          <w:rFonts w:ascii="Arial" w:cs="Arial" w:eastAsia="Arial" w:hAnsi="Arial"/>
          <w:color w:val="AAAAAA"/>
          <w:sz w:val="20"/>
          <w:szCs w:val="20"/>
        </w:rPr>
        <w:t xml:space="preserve">  |  </w:t>
      </w:r>
      <w:r>
        <w:rPr>
          <w:rFonts w:ascii="Arial" w:cs="Arial" w:eastAsia="Arial" w:hAnsi="Arial"/>
          <w:sz w:val="20"/>
          <w:szCs w:val="20"/>
        </w:rPr>
        <w:t xml:space="preserve">www.inclusiecon.ca</w:t>
      </w:r>
      <w:r>
        <w:rPr>
          <w:rFonts w:ascii="Arial" w:cs="Arial" w:eastAsia="Arial" w:hAnsi="Arial"/>
          <w:color w:val="AAAAAA"/>
          <w:sz w:val="20"/>
          <w:szCs w:val="20"/>
        </w:rPr>
        <w:t xml:space="preserve">  |  </w:t>
      </w:r>
      <w:r>
        <w:rPr>
          <w:rFonts w:ascii="Arial" w:cs="Arial" w:eastAsia="Arial" w:hAnsi="Arial"/>
          <w:sz w:val="20"/>
          <w:szCs w:val="20"/>
        </w:rPr>
        <w:t xml:space="preserve">deadfortaxreasons.wordpress.com</w:t>
      </w:r>
    </w:p>
    <w:p>
      <w:pPr>
        <w:spacing w:after="200"/>
        <w:jc w:val="center"/>
      </w:pPr>
      <w:r>
        <w:rPr>
          <w:rFonts w:ascii="Arial" w:cs="Arial" w:eastAsia="Arial" w:hAnsi="Arial"/>
          <w:color w:val="888888"/>
          <w:sz w:val="18"/>
          <w:szCs w:val="18"/>
        </w:rPr>
        <w:t xml:space="preserve">October 2026</w:t>
      </w:r>
    </w:p>
    <w:p>
      <w:pPr>
        <w:pBdr>
          <w:bottom w:val="single" w:color="AAAAAA" w:sz="6" w:space="4"/>
        </w:pBdr>
        <w:spacing w:after="120" w:before="240"/>
      </w:pPr>
      <w:r>
        <w:rPr>
          <w:rFonts w:ascii="Arial" w:cs="Arial" w:eastAsia="Arial" w:hAnsi="Arial"/>
          <w:b/>
          <w:bCs/>
          <w:color w:val="1F3864"/>
          <w:sz w:val="26"/>
          <w:szCs w:val="26"/>
        </w:rPr>
        <w:t xml:space="preserve">GUIDING PHILOSOPHY</w:t>
      </w:r>
    </w:p>
    <w:p>
      <w:pPr>
        <w:spacing w:after="120"/>
      </w:pPr>
      <w:r>
        <w:rPr>
          <w:rFonts w:ascii="Arial" w:cs="Arial" w:eastAsia="Arial" w:hAnsi="Arial"/>
          <w:sz w:val="20"/>
          <w:szCs w:val="20"/>
        </w:rPr>
        <w:t xml:space="preserve">My research sits at the intersection of public finance, tax policy, and social policy, with a sustained focus on how fiscal and administrative design shapes equity, access, and well-being in Canada. I am committed to producing work that makes both an academic contribution and a tangible impact on Canadian policymaking and policy implementation — work that is rigorous enough to advance scholarly debate and accessible enough to inform the people who design, deliver, and are affected by public policy.</w:t>
      </w:r>
    </w:p>
    <w:p>
      <w:pPr>
        <w:spacing w:after="120"/>
      </w:pPr>
      <w:r>
        <w:rPr>
          <w:rFonts w:ascii="Arial" w:cs="Arial" w:eastAsia="Arial" w:hAnsi="Arial"/>
          <w:sz w:val="20"/>
          <w:szCs w:val="20"/>
        </w:rPr>
        <w:t xml:space="preserve">I pursue this through a range of outlets and approaches: peer-reviewed journals across economics, law, and public administration; technical reports and policy papers for decision makers; strategic research partnerships with governments and community organizations; and knowledge-mobilization efforts aimed at practitioners and the public. I also develop and maintain open digital research infrastructure — including INCLUSIECON (inclusiecon.ca), a public-facing research hub designed to make evidence on inclusive economic policy accessible beyond the academic community. I am a regular non-partisan public commentator, appearing in print media, on television, radio, and podcasts, and providing expert testimony before parliamentary and legislative committees.</w:t>
      </w:r>
    </w:p>
    <w:p>
      <w:pPr>
        <w:pBdr>
          <w:bottom w:val="single" w:color="AAAAAA" w:sz="6" w:space="4"/>
        </w:pBdr>
        <w:spacing w:after="120" w:before="240"/>
      </w:pPr>
      <w:r>
        <w:rPr>
          <w:rFonts w:ascii="Arial" w:cs="Arial" w:eastAsia="Arial" w:hAnsi="Arial"/>
          <w:b/>
          <w:bCs/>
          <w:color w:val="1F3864"/>
          <w:sz w:val="26"/>
          <w:szCs w:val="26"/>
        </w:rPr>
        <w:t xml:space="preserve">EDUCATION</w:t>
      </w:r>
    </w:p>
    <w:p>
      <w:pPr>
        <w:tabs>
          <w:tab w:val="left" w:pos="1440"/>
        </w:tabs>
        <w:spacing w:after="100"/>
        <w:ind w:left="1440" w:hanging="1440"/>
      </w:pPr>
      <w:r>
        <w:rPr>
          <w:rFonts w:ascii="Arial" w:cs="Arial" w:eastAsia="Arial" w:hAnsi="Arial"/>
          <w:b/>
          <w:bCs/>
          <w:sz w:val="20"/>
          <w:szCs w:val="20"/>
        </w:rPr>
        <w:t xml:space="preserve">2006</w:t>
      </w:r>
      <w:r>
        <w:rPr>
          <w:rFonts w:ascii="Arial" w:cs="Arial" w:eastAsia="Arial" w:hAnsi="Arial"/>
          <w:sz w:val="20"/>
          <w:szCs w:val="20"/>
        </w:rPr>
        <w:t xml:space="preserve">	</w:t>
      </w:r>
      <w:r>
        <w:rPr>
          <w:rFonts w:ascii="Arial" w:cs="Arial" w:eastAsia="Arial" w:hAnsi="Arial"/>
          <w:color w:val="000000"/>
          <w:sz w:val="20"/>
          <w:szCs w:val="20"/>
        </w:rPr>
        <w:t xml:space="preserve">Ph.D. in Economics, Department of Economics, McMaster University.</w:t>
      </w:r>
    </w:p>
    <w:p>
      <w:pPr>
        <w:tabs>
          <w:tab w:val="left" w:pos="1440"/>
        </w:tabs>
        <w:spacing w:after="100"/>
        <w:ind w:left="1440" w:hanging="1440"/>
      </w:pPr>
      <w:r>
        <w:rPr>
          <w:rFonts w:ascii="Arial" w:cs="Arial" w:eastAsia="Arial" w:hAnsi="Arial"/>
          <w:b/>
          <w:bCs/>
          <w:sz w:val="20"/>
          <w:szCs w:val="20"/>
        </w:rPr>
        <w:t xml:space="preserve">1998</w:t>
      </w:r>
      <w:r>
        <w:rPr>
          <w:rFonts w:ascii="Arial" w:cs="Arial" w:eastAsia="Arial" w:hAnsi="Arial"/>
          <w:sz w:val="20"/>
          <w:szCs w:val="20"/>
        </w:rPr>
        <w:t xml:space="preserve">	</w:t>
      </w:r>
      <w:r>
        <w:rPr>
          <w:rFonts w:ascii="Arial" w:cs="Arial" w:eastAsia="Arial" w:hAnsi="Arial"/>
          <w:color w:val="000000"/>
          <w:sz w:val="20"/>
          <w:szCs w:val="20"/>
        </w:rPr>
        <w:t xml:space="preserve">MA, Department of Economics, University of Victoria.</w:t>
      </w:r>
    </w:p>
    <w:p>
      <w:pPr>
        <w:tabs>
          <w:tab w:val="left" w:pos="1440"/>
        </w:tabs>
        <w:spacing w:after="100"/>
        <w:ind w:left="1440" w:hanging="1440"/>
      </w:pPr>
      <w:r>
        <w:rPr>
          <w:rFonts w:ascii="Arial" w:cs="Arial" w:eastAsia="Arial" w:hAnsi="Arial"/>
          <w:b/>
          <w:bCs/>
          <w:sz w:val="20"/>
          <w:szCs w:val="20"/>
        </w:rPr>
        <w:t xml:space="preserve">1996</w:t>
      </w:r>
      <w:r>
        <w:rPr>
          <w:rFonts w:ascii="Arial" w:cs="Arial" w:eastAsia="Arial" w:hAnsi="Arial"/>
          <w:sz w:val="20"/>
          <w:szCs w:val="20"/>
        </w:rPr>
        <w:t xml:space="preserve">	</w:t>
      </w:r>
      <w:r>
        <w:rPr>
          <w:rFonts w:ascii="Arial" w:cs="Arial" w:eastAsia="Arial" w:hAnsi="Arial"/>
          <w:color w:val="000000"/>
          <w:sz w:val="20"/>
          <w:szCs w:val="20"/>
        </w:rPr>
        <w:t xml:space="preserve">B.A. (with Distinction), Economics, University of Victoria.</w:t>
      </w:r>
    </w:p>
    <w:p>
      <w:pPr>
        <w:tabs>
          <w:tab w:val="left" w:pos="1440"/>
        </w:tabs>
        <w:spacing w:after="100"/>
        <w:ind w:left="1440" w:hanging="1440"/>
      </w:pPr>
      <w:r>
        <w:rPr>
          <w:rFonts w:ascii="Arial" w:cs="Arial" w:eastAsia="Arial" w:hAnsi="Arial"/>
          <w:b/>
          <w:bCs/>
          <w:sz w:val="20"/>
          <w:szCs w:val="20"/>
        </w:rPr>
        <w:t xml:space="preserve">1993</w:t>
      </w:r>
      <w:r>
        <w:rPr>
          <w:rFonts w:ascii="Arial" w:cs="Arial" w:eastAsia="Arial" w:hAnsi="Arial"/>
          <w:sz w:val="20"/>
          <w:szCs w:val="20"/>
        </w:rPr>
        <w:t xml:space="preserve">	</w:t>
      </w:r>
      <w:r>
        <w:rPr>
          <w:rFonts w:ascii="Arial" w:cs="Arial" w:eastAsia="Arial" w:hAnsi="Arial"/>
          <w:color w:val="000000"/>
          <w:sz w:val="20"/>
          <w:szCs w:val="20"/>
        </w:rPr>
        <w:t xml:space="preserve">B.A. (Honours), Political Science, Carleton University.</w:t>
      </w:r>
    </w:p>
    <w:p>
      <w:pPr>
        <w:pBdr>
          <w:bottom w:val="single" w:color="AAAAAA" w:sz="6" w:space="4"/>
        </w:pBdr>
        <w:spacing w:after="120" w:before="240"/>
      </w:pPr>
      <w:r>
        <w:rPr>
          <w:rFonts w:ascii="Arial" w:cs="Arial" w:eastAsia="Arial" w:hAnsi="Arial"/>
          <w:b/>
          <w:bCs/>
          <w:color w:val="1F3864"/>
          <w:sz w:val="26"/>
          <w:szCs w:val="26"/>
        </w:rPr>
        <w:t xml:space="preserve">ACADEMIC APPOINTMENTS</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Professor, Department of Economics, University of Calgary.</w:t>
      </w:r>
    </w:p>
    <w:p>
      <w:pPr>
        <w:tabs>
          <w:tab w:val="left" w:pos="1440"/>
        </w:tabs>
        <w:spacing w:after="100"/>
        <w:ind w:left="1440" w:hanging="1440"/>
      </w:pPr>
      <w:r>
        <w:rPr>
          <w:rFonts w:ascii="Arial" w:cs="Arial" w:eastAsia="Arial" w:hAnsi="Arial"/>
          <w:b/>
          <w:bCs/>
          <w:sz w:val="20"/>
          <w:szCs w:val="20"/>
        </w:rPr>
        <w:t xml:space="preserve">2018–2025</w:t>
      </w:r>
      <w:r>
        <w:rPr>
          <w:rFonts w:ascii="Arial" w:cs="Arial" w:eastAsia="Arial" w:hAnsi="Arial"/>
          <w:sz w:val="20"/>
          <w:szCs w:val="20"/>
        </w:rPr>
        <w:t xml:space="preserve">	</w:t>
      </w:r>
      <w:r>
        <w:rPr>
          <w:rFonts w:ascii="Arial" w:cs="Arial" w:eastAsia="Arial" w:hAnsi="Arial"/>
          <w:color w:val="000000"/>
          <w:sz w:val="20"/>
          <w:szCs w:val="20"/>
        </w:rPr>
        <w:t xml:space="preserve">Associate Professor, Department of Economics, University of Calgary.</w:t>
      </w:r>
    </w:p>
    <w:p>
      <w:pPr>
        <w:tabs>
          <w:tab w:val="left" w:pos="1440"/>
        </w:tabs>
        <w:spacing w:after="100"/>
        <w:ind w:left="144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Scientific Director, Fiscal and Economic Policy, School of Public Policy, University of Calgary.</w:t>
      </w:r>
    </w:p>
    <w:p>
      <w:pPr>
        <w:tabs>
          <w:tab w:val="left" w:pos="1440"/>
        </w:tabs>
        <w:spacing w:after="100"/>
        <w:ind w:left="144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Visiting Professor, School of Public Policy, University of Calgary.</w:t>
      </w:r>
    </w:p>
    <w:p>
      <w:pPr>
        <w:tabs>
          <w:tab w:val="left" w:pos="1440"/>
        </w:tabs>
        <w:spacing w:after="100"/>
        <w:ind w:left="144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Adjunct Associate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2013–2018</w:t>
      </w:r>
      <w:r>
        <w:rPr>
          <w:rFonts w:ascii="Arial" w:cs="Arial" w:eastAsia="Arial" w:hAnsi="Arial"/>
          <w:sz w:val="20"/>
          <w:szCs w:val="20"/>
        </w:rPr>
        <w:t xml:space="preserve">	</w:t>
      </w:r>
      <w:r>
        <w:rPr>
          <w:rFonts w:ascii="Arial" w:cs="Arial" w:eastAsia="Arial" w:hAnsi="Arial"/>
          <w:color w:val="000000"/>
          <w:sz w:val="20"/>
          <w:szCs w:val="20"/>
        </w:rPr>
        <w:t xml:space="preserve">Associate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Interim Director,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2015–2016</w:t>
      </w:r>
      <w:r>
        <w:rPr>
          <w:rFonts w:ascii="Arial" w:cs="Arial" w:eastAsia="Arial" w:hAnsi="Arial"/>
          <w:sz w:val="20"/>
          <w:szCs w:val="20"/>
        </w:rPr>
        <w:t xml:space="preserve">	</w:t>
      </w:r>
      <w:r>
        <w:rPr>
          <w:rFonts w:ascii="Arial" w:cs="Arial" w:eastAsia="Arial" w:hAnsi="Arial"/>
          <w:color w:val="000000"/>
          <w:sz w:val="20"/>
          <w:szCs w:val="20"/>
        </w:rPr>
        <w:t xml:space="preserve">Visiting Professor, School of Public Policy, University of Calgary.</w:t>
      </w:r>
    </w:p>
    <w:p>
      <w:pPr>
        <w:tabs>
          <w:tab w:val="left" w:pos="1440"/>
        </w:tabs>
        <w:spacing w:after="100"/>
        <w:ind w:left="1440" w:hanging="1440"/>
      </w:pPr>
      <w:r>
        <w:rPr>
          <w:rFonts w:ascii="Arial" w:cs="Arial" w:eastAsia="Arial" w:hAnsi="Arial"/>
          <w:b/>
          <w:bCs/>
          <w:sz w:val="20"/>
          <w:szCs w:val="20"/>
        </w:rPr>
        <w:t xml:space="preserve">2007–2013</w:t>
      </w:r>
      <w:r>
        <w:rPr>
          <w:rFonts w:ascii="Arial" w:cs="Arial" w:eastAsia="Arial" w:hAnsi="Arial"/>
          <w:sz w:val="20"/>
          <w:szCs w:val="20"/>
        </w:rPr>
        <w:t xml:space="preserve">	</w:t>
      </w:r>
      <w:r>
        <w:rPr>
          <w:rFonts w:ascii="Arial" w:cs="Arial" w:eastAsia="Arial" w:hAnsi="Arial"/>
          <w:color w:val="000000"/>
          <w:sz w:val="20"/>
          <w:szCs w:val="20"/>
        </w:rPr>
        <w:t xml:space="preserve">Assistant Professor, School of Public Administration, University of Victoria.</w:t>
      </w:r>
    </w:p>
    <w:p>
      <w:pPr>
        <w:tabs>
          <w:tab w:val="left" w:pos="1440"/>
        </w:tabs>
        <w:spacing w:after="100"/>
        <w:ind w:left="1440" w:hanging="1440"/>
      </w:pPr>
      <w:r>
        <w:rPr>
          <w:rFonts w:ascii="Arial" w:cs="Arial" w:eastAsia="Arial" w:hAnsi="Arial"/>
          <w:b/>
          <w:bCs/>
          <w:sz w:val="20"/>
          <w:szCs w:val="20"/>
        </w:rPr>
        <w:t xml:space="preserve">2007–2012</w:t>
      </w:r>
      <w:r>
        <w:rPr>
          <w:rFonts w:ascii="Arial" w:cs="Arial" w:eastAsia="Arial" w:hAnsi="Arial"/>
          <w:sz w:val="20"/>
          <w:szCs w:val="20"/>
        </w:rPr>
        <w:t xml:space="preserve">	</w:t>
      </w:r>
      <w:r>
        <w:rPr>
          <w:rFonts w:ascii="Arial" w:cs="Arial" w:eastAsia="Arial" w:hAnsi="Arial"/>
          <w:color w:val="000000"/>
          <w:sz w:val="20"/>
          <w:szCs w:val="20"/>
        </w:rPr>
        <w:t xml:space="preserve">Adjunct Assistant Professor, Department of Economics, University of Manitoba.</w:t>
      </w:r>
    </w:p>
    <w:p>
      <w:pPr>
        <w:tabs>
          <w:tab w:val="left" w:pos="1440"/>
        </w:tabs>
        <w:spacing w:after="100"/>
        <w:ind w:left="1440" w:hanging="1440"/>
      </w:pPr>
      <w:r>
        <w:rPr>
          <w:rFonts w:ascii="Arial" w:cs="Arial" w:eastAsia="Arial" w:hAnsi="Arial"/>
          <w:b/>
          <w:bCs/>
          <w:sz w:val="20"/>
          <w:szCs w:val="20"/>
        </w:rPr>
        <w:t xml:space="preserve">2005–2007</w:t>
      </w:r>
      <w:r>
        <w:rPr>
          <w:rFonts w:ascii="Arial" w:cs="Arial" w:eastAsia="Arial" w:hAnsi="Arial"/>
          <w:sz w:val="20"/>
          <w:szCs w:val="20"/>
        </w:rPr>
        <w:t xml:space="preserve">	</w:t>
      </w:r>
      <w:r>
        <w:rPr>
          <w:rFonts w:ascii="Arial" w:cs="Arial" w:eastAsia="Arial" w:hAnsi="Arial"/>
          <w:color w:val="000000"/>
          <w:sz w:val="20"/>
          <w:szCs w:val="20"/>
        </w:rPr>
        <w:t xml:space="preserve">Assistant Professor, Department of Economics, University of Manitoba.</w:t>
      </w:r>
    </w:p>
    <w:p>
      <w:pPr>
        <w:pBdr>
          <w:bottom w:val="single" w:color="AAAAAA" w:sz="6" w:space="4"/>
        </w:pBdr>
        <w:spacing w:after="120" w:before="240"/>
      </w:pPr>
      <w:r>
        <w:rPr>
          <w:rFonts w:ascii="Arial" w:cs="Arial" w:eastAsia="Arial" w:hAnsi="Arial"/>
          <w:b/>
          <w:bCs/>
          <w:color w:val="1F3864"/>
          <w:sz w:val="26"/>
          <w:szCs w:val="26"/>
        </w:rPr>
        <w:t xml:space="preserve">OTHER PROFESSIONAL EMPLOYMENT</w:t>
      </w:r>
    </w:p>
    <w:p>
      <w:pPr>
        <w:tabs>
          <w:tab w:val="left" w:pos="1440"/>
        </w:tabs>
        <w:spacing w:after="100"/>
        <w:ind w:left="1440" w:hanging="1440"/>
      </w:pPr>
      <w:r>
        <w:rPr>
          <w:rFonts w:ascii="Arial" w:cs="Arial" w:eastAsia="Arial" w:hAnsi="Arial"/>
          <w:b/>
          <w:bCs/>
          <w:sz w:val="20"/>
          <w:szCs w:val="20"/>
        </w:rPr>
        <w:t xml:space="preserve">1997–2002</w:t>
      </w:r>
      <w:r>
        <w:rPr>
          <w:rFonts w:ascii="Arial" w:cs="Arial" w:eastAsia="Arial" w:hAnsi="Arial"/>
          <w:sz w:val="20"/>
          <w:szCs w:val="20"/>
        </w:rPr>
        <w:t xml:space="preserve">	</w:t>
      </w:r>
      <w:r>
        <w:rPr>
          <w:rFonts w:ascii="Arial" w:cs="Arial" w:eastAsia="Arial" w:hAnsi="Arial"/>
          <w:color w:val="000000"/>
          <w:sz w:val="20"/>
          <w:szCs w:val="20"/>
        </w:rPr>
        <w:t xml:space="preserve">Various Positions, Various Departments, Government of Canada.</w:t>
      </w:r>
    </w:p>
    <w:p>
      <w:pPr>
        <w:tabs>
          <w:tab w:val="left" w:pos="1440"/>
        </w:tabs>
        <w:spacing w:after="100"/>
        <w:ind w:left="1440" w:hanging="1440"/>
      </w:pPr>
      <w:r>
        <w:rPr>
          <w:rFonts w:ascii="Arial" w:cs="Arial" w:eastAsia="Arial" w:hAnsi="Arial"/>
          <w:b/>
          <w:bCs/>
          <w:sz w:val="20"/>
          <w:szCs w:val="20"/>
        </w:rPr>
        <w:t xml:space="preserve">1991–1993</w:t>
      </w:r>
      <w:r>
        <w:rPr>
          <w:rFonts w:ascii="Arial" w:cs="Arial" w:eastAsia="Arial" w:hAnsi="Arial"/>
          <w:sz w:val="20"/>
          <w:szCs w:val="20"/>
        </w:rPr>
        <w:t xml:space="preserve">	</w:t>
      </w:r>
      <w:r>
        <w:rPr>
          <w:rFonts w:ascii="Arial" w:cs="Arial" w:eastAsia="Arial" w:hAnsi="Arial"/>
          <w:color w:val="000000"/>
          <w:sz w:val="20"/>
          <w:szCs w:val="20"/>
        </w:rPr>
        <w:t xml:space="preserve">Law &amp; Risk Management Clerk, Legal Department, City of Gloucester.</w:t>
      </w:r>
    </w:p>
    <w:p>
      <w:pPr>
        <w:pageBreakBefore/>
      </w:pPr>
      <w:r>
        <w:rPr>
          <w:rFonts w:ascii="Arial" w:cs="Arial" w:eastAsia="Arial" w:hAnsi="Arial"/>
          <w:sz w:val="20"/>
          <w:szCs w:val="20"/>
        </w:rPr>
        <w:t xml:space="preserve"/>
      </w:r>
    </w:p>
    <w:p>
      <w:pPr>
        <w:pBdr>
          <w:bottom w:val="single" w:color="AAAAAA" w:sz="6" w:space="4"/>
        </w:pBdr>
        <w:spacing w:after="120" w:before="240"/>
      </w:pPr>
      <w:r>
        <w:rPr>
          <w:rFonts w:ascii="Arial" w:cs="Arial" w:eastAsia="Arial" w:hAnsi="Arial"/>
          <w:b/>
          <w:bCs/>
          <w:color w:val="1F3864"/>
          <w:sz w:val="26"/>
          <w:szCs w:val="26"/>
        </w:rPr>
        <w:t xml:space="preserve">PUBLICATIONS</w:t>
      </w:r>
    </w:p>
    <w:p>
      <w:pPr>
        <w:spacing w:after="160"/>
      </w:pPr>
      <w:r>
        <w:rPr>
          <w:rFonts w:ascii="Arial" w:cs="Arial" w:eastAsia="Arial" w:hAnsi="Arial"/>
          <w:i/>
          <w:iCs/>
          <w:color w:val="555555"/>
          <w:sz w:val="18"/>
          <w:szCs w:val="18"/>
        </w:rPr>
        <w:t xml:space="preserve">Student collaborator names are bolded.  </w:t>
      </w:r>
      <w:r>
        <w:rPr>
          <w:rFonts w:ascii="Arial" w:cs="Arial" w:eastAsia="Arial" w:hAnsi="Arial"/>
          <w:i/>
          <w:iCs/>
          <w:color w:val="555555"/>
          <w:sz w:val="18"/>
          <w:szCs w:val="18"/>
        </w:rPr>
        <w:t xml:space="preserve">*  </w:t>
      </w:r>
      <w:r>
        <w:rPr>
          <w:rFonts w:ascii="Arial" w:cs="Arial" w:eastAsia="Arial" w:hAnsi="Arial"/>
          <w:i/>
          <w:iCs/>
          <w:color w:val="555555"/>
          <w:sz w:val="18"/>
          <w:szCs w:val="18"/>
        </w:rPr>
        <w:t xml:space="preserve">denotes peer reviewed.</w:t>
      </w:r>
    </w:p>
    <w:p>
      <w:pPr>
        <w:spacing w:after="80" w:before="160"/>
      </w:pPr>
      <w:r>
        <w:rPr>
          <w:rFonts w:ascii="Arial" w:cs="Arial" w:eastAsia="Arial" w:hAnsi="Arial"/>
          <w:b/>
          <w:bCs/>
          <w:color w:val="404040"/>
          <w:sz w:val="22"/>
          <w:szCs w:val="22"/>
        </w:rPr>
        <w:t xml:space="preserve">Books</w:t>
      </w:r>
    </w:p>
    <w:p>
      <w:pPr>
        <w:spacing w:after="100"/>
        <w:ind w:left="720" w:hanging="360"/>
      </w:pPr>
      <w:r>
        <w:rPr>
          <w:rFonts w:ascii="Arial" w:cs="Arial" w:eastAsia="Arial" w:hAnsi="Arial"/>
          <w:color w:val="000000"/>
          <w:sz w:val="20"/>
          <w:szCs w:val="20"/>
        </w:rPr>
        <w:t xml:space="preserve">Lindsay M. Tedds, Trevor Tombe, and Harvey S. Rosen. 2027. Public Finance in Canada. Seventh Canadian Edition. Toronto: McGraw-Hill Ryerson. [Forthcoming]</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A. Green, J. Rhys Kesselman, Daniel Perrin, Gillian Petit, and Lindsay M. Tedds with France St. Hilaire. 2023. Basic Income and a Just Society: Policy Choices for Canada's Social Safety Net. Montreal: McGill-Queen's University Press.</w:t>
      </w:r>
    </w:p>
    <w:p>
      <w:pPr>
        <w:spacing w:after="100"/>
        <w:ind w:left="720" w:hanging="360"/>
      </w:pPr>
      <w:r>
        <w:rPr>
          <w:rFonts w:ascii="Arial" w:cs="Arial" w:eastAsia="Arial" w:hAnsi="Arial"/>
          <w:color w:val="000000"/>
          <w:sz w:val="20"/>
          <w:szCs w:val="20"/>
        </w:rPr>
        <w:t xml:space="preserve">Harvey S. Rosen, Lindsay M. Tedds, Trevor Tombe, Jean-Francois Wen, Tracy Snodden. 2023. Public Finance in Canada. Sixth Canadian Edition. Toronto: McGraw-Hill Ryerson.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Catherine Althaus and Lindsay M. Tedds. 2016. User Fees in Canada: A Municipal Design and Implementation Guide. Toronto: Canadian Tax Foundation.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E.A. Giles and Lindsay M. Tedds. 2002. Taxes and the Canadian Underground Economy. Toronto: Canadian Tax Foundation.</w:t>
      </w:r>
    </w:p>
    <w:p>
      <w:pPr>
        <w:spacing w:after="80" w:before="160"/>
      </w:pPr>
      <w:r>
        <w:rPr>
          <w:rFonts w:ascii="Arial" w:cs="Arial" w:eastAsia="Arial" w:hAnsi="Arial"/>
          <w:b/>
          <w:bCs/>
          <w:color w:val="404040"/>
          <w:sz w:val="22"/>
          <w:szCs w:val="22"/>
        </w:rPr>
        <w:t xml:space="preserve">Edited Volumes</w:t>
      </w:r>
    </w:p>
    <w:p>
      <w:pPr>
        <w:spacing w:after="100"/>
        <w:ind w:left="720" w:hanging="360"/>
      </w:pPr>
      <w:r>
        <w:rPr>
          <w:rFonts w:ascii="Arial" w:cs="Arial" w:eastAsia="Arial" w:hAnsi="Arial"/>
          <w:color w:val="000000"/>
          <w:sz w:val="20"/>
          <w:szCs w:val="20"/>
        </w:rPr>
        <w:t xml:space="preserve">Lisa Phillips, Enid Slack, and Lindsay M. Tedds (Eds.). 2019. Funding the Canadian City: A National Dialogue on Municipal Taxation and Fees. Toronto: Canadian Tax Foundation.</w:t>
      </w:r>
    </w:p>
    <w:p>
      <w:pPr>
        <w:spacing w:after="80" w:before="160"/>
      </w:pPr>
      <w:r>
        <w:rPr>
          <w:rFonts w:ascii="Arial" w:cs="Arial" w:eastAsia="Arial" w:hAnsi="Arial"/>
          <w:b/>
          <w:bCs/>
          <w:color w:val="404040"/>
          <w:sz w:val="22"/>
          <w:szCs w:val="22"/>
        </w:rPr>
        <w:t xml:space="preserve">Journal Articles</w:t>
      </w:r>
    </w:p>
    <w:p>
      <w:pPr>
        <w:spacing w:after="100"/>
        <w:ind w:left="720" w:hanging="360"/>
      </w:pPr>
      <w:r>
        <w:rPr>
          <w:rFonts w:ascii="Arial" w:cs="Arial" w:eastAsia="Arial" w:hAnsi="Arial"/>
          <w:color w:val="000000"/>
          <w:sz w:val="20"/>
          <w:szCs w:val="20"/>
        </w:rPr>
        <w:t xml:space="preserve">Gillian Petit, Lindsay M. Tedds, and Jennifer Robson. 2026. Tax Filing as State Administrative Infrastructure: Governance Gaps in Canada's Tax-based Benefit System. Canadian Tax Journal 74(2), 401–418.</w:t>
      </w:r>
    </w:p>
    <w:p>
      <w:pPr>
        <w:spacing w:after="100"/>
        <w:ind w:left="720" w:hanging="360"/>
      </w:pP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Gillian Petit, and Lindsay M. Tedds. 2026. Beyond Cost and Yield: An MVPF-TAdmin Framework for Evaluating Tax-Administration Reforms through Public Value, Equity, and Welfare. Canadian Tax Journal 74(2), 383–400.</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2026. Income and Social Supports: An Inclusive Systems-based Approach to Cash Transfer Program Design. Canadian Public Administration. 69(1), 16–44.</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2024. The Effect of Increased Earnings Exemptions and Asset Thresholds on Income Assistance Flows in British Columbia. Poverty and Public Policy 16(4), 309–322.</w:t>
      </w:r>
    </w:p>
    <w:p>
      <w:pPr>
        <w:spacing w:after="100"/>
        <w:ind w:left="720" w:hanging="360"/>
      </w:pPr>
      <w:r>
        <w:rPr>
          <w:rFonts w:ascii="Arial" w:cs="Arial" w:eastAsia="Arial" w:hAnsi="Arial"/>
          <w:color w:val="000000"/>
          <w:sz w:val="20"/>
          <w:szCs w:val="20"/>
        </w:rPr>
        <w:t xml:space="preserve">Gillian Petit, Lindsay M. Tedds, and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2024. Who Benefits?: A Critical Analysis of Canada's Federal Basic Personal Amount and Personal Tax Credits. Canadian Tax Journal 72(4), 837–857.</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Jennifer Robson and Lindsay M. Tedds. 2024. Canada Disability Benefit: Battling Ableism in Design and Implementation. Osgoode Hall Law Journal 61(2), 577–608.</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A. Green and Lindsay M. Tedds. 2024. The place of a basic income in the search for a more just society: a comment on 'Covering all the [welfare] basics'. Journal of Poverty and Social Justice 32(3), 472–479.</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2024. A Basic Income for Nunavut: Addressing Poverty in Canada's North. Canadian Public Policy, 50(3).</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Gillian Petit, and Lindsay M. Tedds. 2024. The Impact of COVID-19 on Transit Revenues in the City of Calgary. Canadian Journal of Urban Research, 33(1).</w:t>
      </w:r>
    </w:p>
    <w:p>
      <w:pPr>
        <w:spacing w:after="100"/>
        <w:ind w:left="720" w:hanging="360"/>
      </w:pPr>
      <w:r>
        <w:rPr>
          <w:rFonts w:ascii="Arial" w:cs="Arial" w:eastAsia="Arial" w:hAnsi="Arial"/>
          <w:color w:val="000000"/>
          <w:sz w:val="20"/>
          <w:szCs w:val="20"/>
        </w:rPr>
        <w:t xml:space="preserve">Lindsay M. Tedds. 2023. Igniting an Intersectional Shift in Public Policy Research (and Training). Canadian Public Policy, 49(1), 1–12.</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Anna Cameron and Lindsay M. Tedds. 2023. Canada's GBA+ Framework in a (post)Pandemic World: Issues, Tensions, and Paths Forward. Canadian Public Administration, 66(1), 7–27.</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Lindsay M. Tedds, David A. Green, and Jonathon Rhys Kesselman. 2021. Re-envisioning the Canada Revenue Agency: From Tax Collector to Benefit Delivery Agent. Canadian Tax Journal, 69(1), 34–52.</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2020. The Effect of Differences in Treatment of the Canada Response Benefit Across Provincial and Territorial Income Assistance Programs. Canadian Public Policy, July, S-29–S43.</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Janice Compton and Lindsay M. Tedds. 2016. The Effects of the 2001 Extension of Paid Parental Leave Provisions on Birth Seasonality in Canada. Canadian Public Policy, Vol 42(1), 48–65.</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Kelly Farish</w:t>
      </w:r>
      <w:r>
        <w:rPr>
          <w:rFonts w:ascii="Arial" w:cs="Arial" w:eastAsia="Arial" w:hAnsi="Arial"/>
          <w:color w:val="000000"/>
          <w:sz w:val="20"/>
          <w:szCs w:val="20"/>
        </w:rPr>
        <w:t xml:space="preserve"> and Lindsay M. Tedds. 2014. User Fee Design by Canadian Municipalities: Considerations Arising From Case Law. Canadian Tax Journal, Vol 62(3), 635–70.</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Christopher Nicholls, Daniel Sandler, and Lindsay M. Tedds. 2012. Quantifying the Benefits of Backdating: A Canada-US Comparison. Columbia Journal of Tax Law, Vol 3(2), 144–175.</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Catherine Althaus, Lindsay M. Tedds, and </w:t>
      </w:r>
      <w:r>
        <w:rPr>
          <w:rFonts w:ascii="Arial" w:cs="Arial" w:eastAsia="Arial" w:hAnsi="Arial"/>
          <w:b/>
          <w:bCs/>
          <w:color w:val="000000"/>
          <w:sz w:val="20"/>
          <w:szCs w:val="20"/>
        </w:rPr>
        <w:t xml:space="preserve">Allen McAvoy</w:t>
      </w:r>
      <w:r>
        <w:rPr>
          <w:rFonts w:ascii="Arial" w:cs="Arial" w:eastAsia="Arial" w:hAnsi="Arial"/>
          <w:color w:val="000000"/>
          <w:sz w:val="20"/>
          <w:szCs w:val="20"/>
        </w:rPr>
        <w:t xml:space="preserve">. 2011. The Feasibility of Implementing a Congestion Charge on the Halifax Peninsula: Filling the Missing Link of Implementation. Canadian Public Policy, Vol. 37(4), 541–561.</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Christopher Nicholls, Daniel Sandler, and Lindsay M. Tedds. 2011. Insider Reporting Obligations and Options Backdating. Banking and Finance Law Review, Vol 26(3), 473–490.</w:t>
      </w:r>
    </w:p>
    <w:p>
      <w:pPr>
        <w:spacing w:after="100"/>
        <w:ind w:left="720" w:hanging="360"/>
      </w:pPr>
      <w:r>
        <w:rPr>
          <w:rFonts w:ascii="Arial" w:cs="Arial" w:eastAsia="Arial" w:hAnsi="Arial"/>
          <w:color w:val="000000"/>
          <w:sz w:val="20"/>
          <w:szCs w:val="20"/>
        </w:rPr>
        <w:t xml:space="preserve">Lindsay M. Tedds and Marit Rehavi. 2011. Special Report—Tax Time: A Workshop Discussion on Recent Research in Applied Public Finance. Canadian Tax Journal, Vol 59(4), 783–805.</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Estimating the Income Reporting Function for the Self-employed. Empirical Economics, vol. 38(3), 669–687.</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Keeping it off the Books: An Empirical Investigation into the Characteristics of Firms that Engage in Tax Non-Compliance. Applied Economics, vol. 42(19), 2459–2473.</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Ryan A. Compton, Daniel Sandler, and Lindsay M. Tedds. 2009. Options Backdating: A Canadian Perspective. Canadian Business Law Journal, Vol. 47(3), 329–362.</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E.A. Giles, Lindsay M. Tedds, and </w:t>
      </w:r>
      <w:r>
        <w:rPr>
          <w:rFonts w:ascii="Arial" w:cs="Arial" w:eastAsia="Arial" w:hAnsi="Arial"/>
          <w:b/>
          <w:bCs/>
          <w:color w:val="000000"/>
          <w:sz w:val="20"/>
          <w:szCs w:val="20"/>
        </w:rPr>
        <w:t xml:space="preserve">Gugsa T. Wekeneh</w:t>
      </w:r>
      <w:r>
        <w:rPr>
          <w:rFonts w:ascii="Arial" w:cs="Arial" w:eastAsia="Arial" w:hAnsi="Arial"/>
          <w:color w:val="000000"/>
          <w:sz w:val="20"/>
          <w:szCs w:val="20"/>
        </w:rPr>
        <w:t xml:space="preserve">. 2002. The Canadian Underground and Measured Economies: Granger Causality Results. Applied Economics, vol. 34, 2347–2352.</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1998. What Goes Up Must Come Down (But Not Necessarily at the Same Rate): Testing for Asymmetry in New Zealand Time Series. New Zealand Economic Papers, June, 41–58.</w:t>
      </w:r>
    </w:p>
    <w:p>
      <w:pPr>
        <w:spacing w:after="80" w:before="160"/>
      </w:pPr>
      <w:r>
        <w:rPr>
          <w:rFonts w:ascii="Arial" w:cs="Arial" w:eastAsia="Arial" w:hAnsi="Arial"/>
          <w:b/>
          <w:bCs/>
          <w:color w:val="404040"/>
          <w:sz w:val="22"/>
          <w:szCs w:val="22"/>
        </w:rPr>
        <w:t xml:space="preserve">Book Chapters</w:t>
      </w:r>
    </w:p>
    <w:p>
      <w:pPr>
        <w:spacing w:after="100"/>
        <w:ind w:left="720" w:hanging="360"/>
      </w:pPr>
      <w:r>
        <w:rPr>
          <w:rFonts w:ascii="Arial" w:cs="Arial" w:eastAsia="Arial" w:hAnsi="Arial"/>
          <w:color w:val="000000"/>
          <w:sz w:val="20"/>
          <w:szCs w:val="20"/>
        </w:rPr>
        <w:t xml:space="preserve">Gillian Petit, Lindsay M. Tedds, and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2026. The Effects of COVID-19 on Public Transit in the City of Calgary: Fiscal Impacts and Equity Considerations. In Christopher Cotton (Ed.) Lasting Disruption: Economic and Social Impacts of COVID-19. Montreal &amp; Kingston: McGill-Queen's University Press.</w:t>
      </w:r>
    </w:p>
    <w:p>
      <w:pPr>
        <w:spacing w:after="100"/>
        <w:ind w:left="720" w:hanging="360"/>
      </w:pPr>
      <w:r>
        <w:rPr>
          <w:rFonts w:ascii="Arial" w:cs="Arial" w:eastAsia="Arial" w:hAnsi="Arial"/>
          <w:color w:val="000000"/>
          <w:sz w:val="20"/>
          <w:szCs w:val="20"/>
        </w:rPr>
        <w:t xml:space="preserve">W.L. (Vic) Adamowicz, Robin Boadway, Dan Breznitz, Christopher Cotton, Stewart Elgie, Evelyn Forget, Richard Gold, Esyllt Jones, Fabian Lange, Nathalie de Marcellis-Warin, Christopher McCabe, Stuart Peacock, and Lindsay M. Tedds. 2026. Renewing the Social Contract and Fostering Innovation to Build a Stronger Post-Covid-19 Economy. In Christopher Cotton (Ed.) Lasting Disruption: Economic and Social Impacts of COVID-19. Montreal &amp; Kingston: McGill-Queen's University Press.</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and Lindsay M. Tedds. 2023. Interactions between Federal and Provincial Cash Transfer Programs: The Effect of the Canada Emergency Response Benefit on Provincial Income Assistance Eligibility and Benefits. In Kathy Brock and Geoffrey Hale (Eds.) Managing Canadian Federalism Beyond Pandemic. University of Toronto Press.</w:t>
      </w:r>
    </w:p>
    <w:p>
      <w:pPr>
        <w:spacing w:after="100"/>
        <w:ind w:left="720" w:hanging="360"/>
      </w:pPr>
      <w:r>
        <w:rPr>
          <w:rFonts w:ascii="Arial" w:cs="Arial" w:eastAsia="Arial" w:hAnsi="Arial"/>
          <w:b/>
          <w:bCs/>
          <w:color w:val="000000"/>
          <w:sz w:val="20"/>
          <w:szCs w:val="20"/>
        </w:rPr>
        <w:t xml:space="preserve">John Baker</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Kourtney Koebel</w:t>
      </w:r>
      <w:r>
        <w:rPr>
          <w:rFonts w:ascii="Arial" w:cs="Arial" w:eastAsia="Arial" w:hAnsi="Arial"/>
          <w:color w:val="000000"/>
          <w:sz w:val="20"/>
          <w:szCs w:val="20"/>
        </w:rPr>
        <w:t xml:space="preserve">, Lindsay M. Tedds. 2021. Gender Disparities in the Labour Market? Examining the COVID-19 Pandemic in Alberta. In Robert Mansell and Kenneth J. McKenzie (Eds.) Alberta Futures. University of Calgary Press.</w:t>
      </w:r>
    </w:p>
    <w:p>
      <w:pPr>
        <w:spacing w:after="100"/>
        <w:ind w:left="720" w:hanging="360"/>
      </w:pPr>
      <w:r>
        <w:rPr>
          <w:rFonts w:ascii="Arial" w:cs="Arial" w:eastAsia="Arial" w:hAnsi="Arial"/>
          <w:b/>
          <w:bCs/>
          <w:color w:val="000000"/>
          <w:sz w:val="20"/>
          <w:szCs w:val="20"/>
        </w:rPr>
        <w:t xml:space="preserve">Brock Euper</w:t>
      </w:r>
      <w:r>
        <w:rPr>
          <w:rFonts w:ascii="Arial" w:cs="Arial" w:eastAsia="Arial" w:hAnsi="Arial"/>
          <w:color w:val="000000"/>
          <w:sz w:val="20"/>
          <w:szCs w:val="20"/>
        </w:rPr>
        <w:t xml:space="preserve"> and Lindsay M. Tedds. 2021. The Costs of Energy-related Linear Property on Local Governments in Canada and How they Can Potentially Be Recouped through Taxation. In Trevor Tombe and Jennifer Winter (Eds.) Measuring the Contribution of Energy Infrastructure: A Practical Guide. Calgary: University of Calgary Press.</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2020. Who Pays for Municipal Governments? Pursuing the User Pay Model. In Elsbeth Heaman (ed.) Who Pays for Canada? Taxes and Fairness. McGill University Press.</w:t>
      </w:r>
    </w:p>
    <w:p>
      <w:pPr>
        <w:spacing w:after="100"/>
        <w:ind w:left="720" w:hanging="360"/>
      </w:pPr>
      <w:r>
        <w:rPr>
          <w:rFonts w:ascii="Arial" w:cs="Arial" w:eastAsia="Arial" w:hAnsi="Arial"/>
          <w:color w:val="000000"/>
          <w:sz w:val="20"/>
          <w:szCs w:val="20"/>
        </w:rPr>
        <w:t xml:space="preserve">Lindsay M. Tedds. 2019. Non-Tax Revenue for Funding Municipal Governments: Potentials, Constraints, and Emerging Opportunities. In L. Phillips et al. (Eds.) Funding the Canadian City. Toronto: Canadian Tax Foundation.</w:t>
      </w:r>
    </w:p>
    <w:p>
      <w:pPr>
        <w:spacing w:after="100"/>
        <w:ind w:left="720" w:hanging="360"/>
      </w:pPr>
      <w:r>
        <w:rPr>
          <w:rFonts w:ascii="Arial" w:cs="Arial" w:eastAsia="Arial" w:hAnsi="Arial"/>
          <w:color w:val="000000"/>
          <w:sz w:val="20"/>
          <w:szCs w:val="20"/>
        </w:rPr>
        <w:t xml:space="preserve">Lisa Phillips, Enid Slack, and Lindsay M. Tedds. 2019. Introduction. In L. Phillips et al. (Eds.) Funding the Canadian City. Toronto: Canadian Tax Foundation.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2017. Municipal User Fees in Western Canada. In Enid Slack and Richard Bird (Eds.) Financing Municipal Infrastructure: Who Should Pay? McGill-Queen's University Press: Toronto, 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2017. The Tax Treatment of Resource Exploration Expenditures: A Historical Review and a Way Forward. In Adams et al. (eds) Canadian Income Tax Centennial Anniversary. Canadian Tax Foundation: Toronto, ON.</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2010. Tax Policy Changes in the 2009 Budget: Much Ado About Stimulus? In Charles Beach, Bev Dahlby, Paul Jobson (Eds.) The 2009 Federal Budget: Challenge, Response and Retrospect. Queens University Press: Kingston, ON.</w:t>
      </w:r>
    </w:p>
    <w:p>
      <w:pPr>
        <w:spacing w:after="100"/>
        <w:ind w:left="720" w:hanging="360"/>
      </w:pPr>
      <w:r>
        <w:rPr>
          <w:rFonts w:ascii="Arial" w:cs="Arial" w:eastAsia="Arial" w:hAnsi="Arial"/>
          <w:color w:val="000000"/>
          <w:sz w:val="20"/>
          <w:szCs w:val="20"/>
        </w:rPr>
        <w:t xml:space="preserve">Lindsay M. Tedds. 2005. The Underground Economy in Canada. In Chris Bajada and Friedrich Schneider (Eds.) Size, Causes and Consequences of the Underground Economy. Ashgate Publishing: UK.</w:t>
      </w:r>
    </w:p>
    <w:p>
      <w:pPr>
        <w:spacing w:after="80" w:before="160"/>
      </w:pPr>
      <w:r>
        <w:rPr>
          <w:rFonts w:ascii="Arial" w:cs="Arial" w:eastAsia="Arial" w:hAnsi="Arial"/>
          <w:b/>
          <w:bCs/>
          <w:color w:val="404040"/>
          <w:sz w:val="22"/>
          <w:szCs w:val="22"/>
        </w:rPr>
        <w:t xml:space="preserve">Peer Reviewed Policy Papers</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Jennifer Robson, Lindsay M. Tedds, et al. 2022. Impacts of the COVID-19 Pandemic on Women in Canada. Royal Society of Canada.</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Anna Cameron, Mukesh Khanal, Daria Crisan. 2021. Why Existing Regulatory Frameworks Fail in the Short-term Rental Market: Exploring the Role of Regulatory Fractures. The School of Public Policy Publications, 14(26), 1–42.</w:t>
      </w:r>
    </w:p>
    <w:p>
      <w:pPr>
        <w:spacing w:after="100"/>
        <w:ind w:left="720" w:hanging="360"/>
      </w:pPr>
      <w:r>
        <w:rPr>
          <w:rFonts w:ascii="Arial" w:cs="Arial" w:eastAsia="Arial" w:hAnsi="Arial"/>
          <w:b/>
          <w:bCs/>
          <w:sz w:val="20"/>
          <w:szCs w:val="20"/>
        </w:rPr>
        <w:t xml:space="preserve">* </w:t>
      </w:r>
      <w:r>
        <w:rPr>
          <w:rFonts w:ascii="Arial" w:cs="Arial" w:eastAsia="Arial" w:hAnsi="Arial"/>
          <w:b/>
          <w:bCs/>
          <w:color w:val="000000"/>
          <w:sz w:val="20"/>
          <w:szCs w:val="20"/>
        </w:rPr>
        <w:t xml:space="preserve">John Baker</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Kourtney Koebel</w:t>
      </w:r>
      <w:r>
        <w:rPr>
          <w:rFonts w:ascii="Arial" w:cs="Arial" w:eastAsia="Arial" w:hAnsi="Arial"/>
          <w:color w:val="000000"/>
          <w:sz w:val="20"/>
          <w:szCs w:val="20"/>
        </w:rPr>
        <w:t xml:space="preserve">, Lindsay M. Tedds. 2021. Gender Disparities in the Labour Market? Examining the COVID-19 Pandemic in Alberta. The School of Public Policy Publications, 14(18), 1–37.</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Anna Cameron, Daria Crisan, Mukesh Khanal, Gillian Petit, Andrew Sharpe, and Martin Thunert. 2021. Canada Report: Sustainable Governance Indicators 2021. Bertelsmann Stiftung.</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Christopher McCabe, Vic Adamowicz, Robin Boadway, Dan Berznitz, Christopher Cotton, Nathalie de Marcellis-Warin, Stewart Elgie, Evelyn Forget, Richard Gold, Esyllt Jones, Fabian Lange, Stuart Peacock, and Lindsay Tedds. 2020. Renewing the Social Contract: Economic Recovery in Canada from COVID-19. Royal Society of Canada.</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Gillian Petit, Craig Scott, </w:t>
      </w:r>
      <w:r>
        <w:rPr>
          <w:rFonts w:ascii="Arial" w:cs="Arial" w:eastAsia="Arial" w:hAnsi="Arial"/>
          <w:b/>
          <w:bCs/>
          <w:color w:val="000000"/>
          <w:sz w:val="20"/>
          <w:szCs w:val="20"/>
        </w:rPr>
        <w:t xml:space="preserve">Blake Gallacher</w:t>
      </w:r>
      <w:r>
        <w:rPr>
          <w:rFonts w:ascii="Arial" w:cs="Arial" w:eastAsia="Arial" w:hAnsi="Arial"/>
          <w:color w:val="000000"/>
          <w:sz w:val="20"/>
          <w:szCs w:val="20"/>
        </w:rPr>
        <w:t xml:space="preserve">, Jennifer Zwicker, and Lindsay M. Tedds. 2020. Less Income for More Hours of Work: Barriers to Work for Social Assistance Recipients in B.C. The School of Public Policy Publications, 13(11), 1–16.</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David Green, Jonathan Rhys Kesselman, and Lindsay Tedds. 2020. Considerations for a Basic Income as a COVID-19 Response. The School of Public Policy Publications, 13(11), 1–16.</w:t>
      </w:r>
    </w:p>
    <w:p>
      <w:pPr>
        <w:spacing w:after="100"/>
        <w:ind w:left="720" w:hanging="360"/>
      </w:pPr>
      <w:r>
        <w:rPr>
          <w:rFonts w:ascii="Arial" w:cs="Arial" w:eastAsia="Arial" w:hAnsi="Arial"/>
          <w:b/>
          <w:bCs/>
          <w:sz w:val="20"/>
          <w:szCs w:val="20"/>
        </w:rPr>
        <w:t xml:space="preserve">* </w:t>
      </w:r>
      <w:r>
        <w:rPr>
          <w:rFonts w:ascii="Arial" w:cs="Arial" w:eastAsia="Arial" w:hAnsi="Arial"/>
          <w:color w:val="000000"/>
          <w:sz w:val="20"/>
          <w:szCs w:val="20"/>
        </w:rPr>
        <w:t xml:space="preserve">Lindsay M. Tedds. 2016. Do Insiders Comply with Disclosure Rules?: Evidence from Canada, 1996–2011. The School of Public Policy Publications, Vol 9(30), 1–34.</w:t>
      </w:r>
    </w:p>
    <w:p>
      <w:pPr>
        <w:spacing w:after="80" w:before="160"/>
      </w:pPr>
      <w:r>
        <w:rPr>
          <w:rFonts w:ascii="Arial" w:cs="Arial" w:eastAsia="Arial" w:hAnsi="Arial"/>
          <w:b/>
          <w:bCs/>
          <w:color w:val="404040"/>
          <w:sz w:val="22"/>
          <w:szCs w:val="22"/>
        </w:rPr>
        <w:t xml:space="preserve">Internally Reviewed Policy Papers</w:t>
      </w:r>
    </w:p>
    <w:p>
      <w:pPr>
        <w:spacing w:after="100"/>
        <w:ind w:left="720" w:hanging="360"/>
      </w:pPr>
      <w:r>
        <w:rPr>
          <w:rFonts w:ascii="Arial" w:cs="Arial" w:eastAsia="Arial" w:hAnsi="Arial"/>
          <w:color w:val="000000"/>
          <w:sz w:val="20"/>
          <w:szCs w:val="20"/>
        </w:rPr>
        <w:t xml:space="preserve">Lindsay M. Tedds and Gillian Petit. 2022. Implications of Taxation Without Indexation in Alberta. The School of Public Policy Publications, 15, 1–2.</w:t>
      </w:r>
    </w:p>
    <w:p>
      <w:pPr>
        <w:spacing w:after="100"/>
        <w:ind w:left="720" w:hanging="360"/>
      </w:pPr>
      <w:r>
        <w:rPr>
          <w:rFonts w:ascii="Arial" w:cs="Arial" w:eastAsia="Arial" w:hAnsi="Arial"/>
          <w:color w:val="000000"/>
          <w:sz w:val="20"/>
          <w:szCs w:val="20"/>
        </w:rPr>
        <w:t xml:space="preserve">Gillian Petit and Lindsay M. Tedds. 2022. Census 2020: Government Transfers to Albertans. The School of Public Policy Publications, 15, 1–2.</w:t>
      </w:r>
    </w:p>
    <w:p>
      <w:pPr>
        <w:spacing w:after="100"/>
        <w:ind w:left="720" w:hanging="360"/>
      </w:pPr>
      <w:r>
        <w:rPr>
          <w:rFonts w:ascii="Arial" w:cs="Arial" w:eastAsia="Arial" w:hAnsi="Arial"/>
          <w:color w:val="000000"/>
          <w:sz w:val="20"/>
          <w:szCs w:val="20"/>
        </w:rPr>
        <w:t xml:space="preserve">Gillian Petit, Lindsay M. Tedds, Tammy Schirle. 2021. An Examination of the Conservative Party of Canada's Proposed Childcare Refundable Tax Credit. The School of Public Policy Publications, 14, 1–3.</w:t>
      </w:r>
    </w:p>
    <w:p>
      <w:pPr>
        <w:spacing w:after="100"/>
        <w:ind w:left="720" w:hanging="360"/>
      </w:pPr>
      <w:r>
        <w:rPr>
          <w:rFonts w:ascii="Arial" w:cs="Arial" w:eastAsia="Arial" w:hAnsi="Arial"/>
          <w:color w:val="000000"/>
          <w:sz w:val="20"/>
          <w:szCs w:val="20"/>
        </w:rPr>
        <w:t xml:space="preserve">Gillian Petit and Lindsay M. Tedds. 2021. COVID-19 &amp; Trends in Income Assistance Caseloads. The School of Public Policy Publications, 14, 1–2.</w:t>
      </w:r>
    </w:p>
    <w:p>
      <w:pPr>
        <w:spacing w:after="100"/>
        <w:ind w:left="720" w:hanging="360"/>
      </w:pPr>
      <w:r>
        <w:rPr>
          <w:rFonts w:ascii="Arial" w:cs="Arial" w:eastAsia="Arial" w:hAnsi="Arial"/>
          <w:color w:val="000000"/>
          <w:sz w:val="20"/>
          <w:szCs w:val="20"/>
        </w:rPr>
        <w:t xml:space="preserve">Rob Buschmann, Jennifer Fischer-Summers, Gillian Petit, Anna Cameron, and Lindsay M. Tedds. 2020. Analyzing Changes to Alberta's Child Care Subsidy. The School of Public Policy Publications, 13, 1.</w:t>
      </w:r>
    </w:p>
    <w:p>
      <w:pPr>
        <w:spacing w:after="100"/>
        <w:ind w:left="720" w:hanging="360"/>
      </w:pPr>
      <w:r>
        <w:rPr>
          <w:rFonts w:ascii="Arial" w:cs="Arial" w:eastAsia="Arial" w:hAnsi="Arial"/>
          <w:color w:val="000000"/>
          <w:sz w:val="20"/>
          <w:szCs w:val="20"/>
        </w:rPr>
        <w:t xml:space="preserve">Anna Cameron, </w:t>
      </w:r>
      <w:r>
        <w:rPr>
          <w:rFonts w:ascii="Arial" w:cs="Arial" w:eastAsia="Arial" w:hAnsi="Arial"/>
          <w:b/>
          <w:bCs/>
          <w:color w:val="000000"/>
          <w:sz w:val="20"/>
          <w:szCs w:val="20"/>
        </w:rPr>
        <w:t xml:space="preserve">Vanessa Morin</w:t>
      </w:r>
      <w:r>
        <w:rPr>
          <w:rFonts w:ascii="Arial" w:cs="Arial" w:eastAsia="Arial" w:hAnsi="Arial"/>
          <w:color w:val="000000"/>
          <w:sz w:val="20"/>
          <w:szCs w:val="20"/>
        </w:rPr>
        <w:t xml:space="preserve">, and Lindsay M. Tedds. 2020. The Gendered Implications of an Infrastructure Focused Recovery. The School of Public Policy Publications, 13, 1.</w:t>
      </w:r>
    </w:p>
    <w:p>
      <w:pPr>
        <w:spacing w:after="100"/>
        <w:ind w:left="720" w:hanging="360"/>
      </w:pPr>
      <w:r>
        <w:rPr>
          <w:rFonts w:ascii="Arial" w:cs="Arial" w:eastAsia="Arial" w:hAnsi="Arial"/>
          <w:color w:val="000000"/>
          <w:sz w:val="20"/>
          <w:szCs w:val="20"/>
        </w:rPr>
        <w:t xml:space="preserve">Gillian Petit and Lindsay M. Tedds. 2020. The Federal Government's Policy Response to COVID-19: Acting Quickly and Decisively. The School of Public Policy Publications, March 2020.</w:t>
      </w:r>
    </w:p>
    <w:p>
      <w:pPr>
        <w:spacing w:after="100"/>
        <w:ind w:left="720" w:hanging="360"/>
      </w:pPr>
      <w:r>
        <w:rPr>
          <w:rFonts w:ascii="Arial" w:cs="Arial" w:eastAsia="Arial" w:hAnsi="Arial"/>
          <w:color w:val="000000"/>
          <w:sz w:val="20"/>
          <w:szCs w:val="20"/>
        </w:rPr>
        <w:t xml:space="preserve">Anna Cameron, Lindsay M. Tedds, Jennifer Robson, and Saul Schwartz. 2020. The Merits of Automatic Income Tax Assessments for Low-Income Canadians. The School of Public Policy Publications, February 2020.</w:t>
      </w:r>
    </w:p>
    <w:p>
      <w:pPr>
        <w:spacing w:after="100"/>
        <w:ind w:left="720" w:hanging="360"/>
      </w:pPr>
      <w:r>
        <w:rPr>
          <w:rFonts w:ascii="Arial" w:cs="Arial" w:eastAsia="Arial" w:hAnsi="Arial"/>
          <w:color w:val="000000"/>
          <w:sz w:val="20"/>
          <w:szCs w:val="20"/>
        </w:rPr>
        <w:t xml:space="preserve">Anna Cameron, Gillian Petit, and Lindsay M. Tedds. 2019. The Alberta Child and Family Benefit—Who Gains and Who Loses? The School of Public Policy Publications, 12, 1–2.</w:t>
      </w:r>
    </w:p>
    <w:p>
      <w:pPr>
        <w:spacing w:after="80" w:before="160"/>
      </w:pPr>
      <w:r>
        <w:rPr>
          <w:rFonts w:ascii="Arial" w:cs="Arial" w:eastAsia="Arial" w:hAnsi="Arial"/>
          <w:b/>
          <w:bCs/>
          <w:color w:val="404040"/>
          <w:sz w:val="22"/>
          <w:szCs w:val="22"/>
        </w:rPr>
        <w:t xml:space="preserve">Policy Papers</w:t>
      </w:r>
    </w:p>
    <w:p>
      <w:pPr>
        <w:spacing w:after="100"/>
        <w:ind w:left="720" w:hanging="360"/>
      </w:pP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Gillian Petit, and Lindsay M. Tedds. 2026. Making Every Public Dollar Count: Bringing the Marginal Value of Public Funds to Canada. Maytree.</w:t>
      </w:r>
    </w:p>
    <w:p>
      <w:pPr>
        <w:spacing w:after="100"/>
        <w:ind w:left="720" w:hanging="360"/>
      </w:pPr>
      <w:r>
        <w:rPr>
          <w:rFonts w:ascii="Arial" w:cs="Arial" w:eastAsia="Arial" w:hAnsi="Arial"/>
          <w:color w:val="000000"/>
          <w:sz w:val="20"/>
          <w:szCs w:val="20"/>
        </w:rPr>
        <w:t xml:space="preserve">Anna Cameron, Lindsay M. Tedds, and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2023. Economic Security Policy and Canada's National Action Plan to End Gender-based Violence: Is there a Role for Cash Transfers in Addressing Intimate Partner Violence. Research paper prepared for Women and Gender Equality Canada.</w:t>
      </w:r>
    </w:p>
    <w:p>
      <w:pPr>
        <w:spacing w:after="100"/>
        <w:ind w:left="720" w:hanging="360"/>
      </w:pPr>
      <w:r>
        <w:rPr>
          <w:rFonts w:ascii="Arial" w:cs="Arial" w:eastAsia="Arial" w:hAnsi="Arial"/>
          <w:color w:val="000000"/>
          <w:sz w:val="20"/>
          <w:szCs w:val="20"/>
        </w:rPr>
        <w:t xml:space="preserve">David Green, Lindsay Tedds, Rhys Kesselman, and Daniel Perrin. 2021. 11 Steps Towards a More Just Society for Budgets '22 and Beyond. CCPA Policy Note, August 25.</w:t>
      </w:r>
    </w:p>
    <w:p>
      <w:pPr>
        <w:spacing w:after="100"/>
        <w:ind w:left="720" w:hanging="360"/>
      </w:pPr>
      <w:r>
        <w:rPr>
          <w:rFonts w:ascii="Arial" w:cs="Arial" w:eastAsia="Arial" w:hAnsi="Arial"/>
          <w:color w:val="000000"/>
          <w:sz w:val="20"/>
          <w:szCs w:val="20"/>
        </w:rPr>
        <w:t xml:space="preserve">Anna Cameron and Lindsay M. Tedds. 2021. Gender-based Violence, Economic Security, and the Potential of Basic Income: A Discussion Paper. Research paper commissioned by the Expert Panel on A National Strategy for Ending Gender-based Violence.</w:t>
      </w:r>
    </w:p>
    <w:p>
      <w:pPr>
        <w:spacing w:after="100"/>
        <w:ind w:left="720" w:hanging="360"/>
      </w:pPr>
      <w:r>
        <w:rPr>
          <w:rFonts w:ascii="Arial" w:cs="Arial" w:eastAsia="Arial" w:hAnsi="Arial"/>
          <w:b/>
          <w:bCs/>
          <w:color w:val="000000"/>
          <w:sz w:val="20"/>
          <w:szCs w:val="20"/>
        </w:rPr>
        <w:t xml:space="preserve">Marina Flaim</w:t>
      </w:r>
      <w:r>
        <w:rPr>
          <w:rFonts w:ascii="Arial" w:cs="Arial" w:eastAsia="Arial" w:hAnsi="Arial"/>
          <w:color w:val="000000"/>
          <w:sz w:val="20"/>
          <w:szCs w:val="20"/>
        </w:rPr>
        <w:t xml:space="preserve">, Gillian Petit, and Lindsay M. Tedds. 2021. Canada Revenue Agency and Tax Administration: Re-envisioning Tax and Benefit Administration in the Age of Digitalization. Prepared for SSHRC and the Government of Canada's Future Skills Centre.</w:t>
      </w:r>
    </w:p>
    <w:p>
      <w:pPr>
        <w:spacing w:after="100"/>
        <w:ind w:left="720" w:hanging="360"/>
      </w:pPr>
      <w:r>
        <w:rPr>
          <w:rFonts w:ascii="Arial" w:cs="Arial" w:eastAsia="Arial" w:hAnsi="Arial"/>
          <w:color w:val="000000"/>
          <w:sz w:val="20"/>
          <w:szCs w:val="20"/>
        </w:rPr>
        <w:t xml:space="preserve">Rob Gillezeau, Gillian Petit, and Lindsay M. Tedds. 2020. Recommendations for Immediate Provincial Policy Responses to COVID-19. Intelligence Memo, C.D. Howe Institute, March 24, 2020.</w:t>
      </w:r>
    </w:p>
    <w:p>
      <w:pPr>
        <w:spacing w:after="100"/>
        <w:ind w:left="720" w:hanging="360"/>
      </w:pPr>
      <w:r>
        <w:rPr>
          <w:rFonts w:ascii="Arial" w:cs="Arial" w:eastAsia="Arial" w:hAnsi="Arial"/>
          <w:color w:val="000000"/>
          <w:sz w:val="20"/>
          <w:szCs w:val="20"/>
        </w:rPr>
        <w:t xml:space="preserve">Lindsay M. Tedds. 2018. Income Support for Low-Income Workers—Transition Briefing: A Holistic Approach for Supporting Ontario's Working Poor. Ontario 360, April 30, 2018.</w:t>
      </w:r>
    </w:p>
    <w:p>
      <w:pPr>
        <w:spacing w:after="100"/>
        <w:ind w:left="720" w:hanging="360"/>
      </w:pPr>
      <w:r>
        <w:rPr>
          <w:rFonts w:ascii="Arial" w:cs="Arial" w:eastAsia="Arial" w:hAnsi="Arial"/>
          <w:color w:val="000000"/>
          <w:sz w:val="20"/>
          <w:szCs w:val="20"/>
        </w:rPr>
        <w:t xml:space="preserve">Lindsay M. Tedds. 2017. How the Canadian Income Tax System Facilitates and Impedes the Implementation of a Basic Income Guarantee. Northern Policy Institute.</w:t>
      </w:r>
    </w:p>
    <w:p>
      <w:pPr>
        <w:spacing w:after="100"/>
        <w:ind w:left="720" w:hanging="360"/>
      </w:pPr>
      <w:r>
        <w:rPr>
          <w:rFonts w:ascii="Arial" w:cs="Arial" w:eastAsia="Arial" w:hAnsi="Arial"/>
          <w:color w:val="000000"/>
          <w:sz w:val="20"/>
          <w:szCs w:val="20"/>
        </w:rPr>
        <w:t xml:space="preserve">Fabien Durif, </w:t>
      </w:r>
      <w:r>
        <w:rPr>
          <w:rFonts w:ascii="Arial" w:cs="Arial" w:eastAsia="Arial" w:hAnsi="Arial"/>
          <w:b/>
          <w:bCs/>
          <w:color w:val="000000"/>
          <w:sz w:val="20"/>
          <w:szCs w:val="20"/>
        </w:rPr>
        <w:t xml:space="preserve">Myriam Ertz</w:t>
      </w:r>
      <w:r>
        <w:rPr>
          <w:rFonts w:ascii="Arial" w:cs="Arial" w:eastAsia="Arial" w:hAnsi="Arial"/>
          <w:color w:val="000000"/>
          <w:sz w:val="20"/>
          <w:szCs w:val="20"/>
        </w:rPr>
        <w:t xml:space="preserve">, and Lindsay M. Tedds. 2016. The Kijiji Second-hand Economy Index: 2016 Report. Environics Communication, Toronto, Ontario.</w:t>
      </w:r>
    </w:p>
    <w:p>
      <w:pPr>
        <w:spacing w:after="80" w:before="160"/>
      </w:pPr>
      <w:r>
        <w:rPr>
          <w:rFonts w:ascii="Arial" w:cs="Arial" w:eastAsia="Arial" w:hAnsi="Arial"/>
          <w:b/>
          <w:bCs/>
          <w:color w:val="404040"/>
          <w:sz w:val="22"/>
          <w:szCs w:val="22"/>
        </w:rPr>
        <w:t xml:space="preserve">Technical Reports</w:t>
      </w:r>
    </w:p>
    <w:p>
      <w:pPr>
        <w:spacing w:after="100"/>
        <w:ind w:left="720" w:hanging="360"/>
      </w:pPr>
      <w:r>
        <w:rPr>
          <w:rFonts w:ascii="Arial" w:cs="Arial" w:eastAsia="Arial" w:hAnsi="Arial"/>
          <w:color w:val="000000"/>
          <w:sz w:val="20"/>
          <w:szCs w:val="20"/>
        </w:rPr>
        <w:t xml:space="preserve">Gillian Petit and Lindsay M. Tedds. 2024. Horizontal and Vertical (In)Equities in Calgary's Property Tax Assessments: Mapping Patterns of Inequity.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Horizontal and Vertical (In)Equities in Calgary's Property Tax Assessments: Decomposing Inequities.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Scoping Calgary's Short-term Rental Economy: Building the Evidence Base to Shape Innovative Regulatory Frameworks in the Digital City.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Flexible Options for the City of Calgary's Short-Term Rentals Regulatory Framework: Design, Implementation, and Impact.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The Effect of Short-term Rentals on the Long-term Rental Market in Calgary.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Canadian Short-term Rentals and Their Impact on Long-term Rental Prices.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and Lindsay M. Tedds. 2024. Impacts of STRs and STR Policy Tools on the Housing Market: Examination of the Causal Empirical Evidence.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Lindsay M. Tedds, and Anna I. Cameron. 2024. Patterns and Use of Short-term Rentals in Calgary, 2017–2023. Report prepared for the City of Calgary under an Urban Alliance Agreement.</w:t>
      </w:r>
    </w:p>
    <w:p>
      <w:pPr>
        <w:spacing w:after="100"/>
        <w:ind w:left="720" w:hanging="360"/>
      </w:pPr>
      <w:r>
        <w:rPr>
          <w:rFonts w:ascii="Arial" w:cs="Arial" w:eastAsia="Arial" w:hAnsi="Arial"/>
          <w:color w:val="000000"/>
          <w:sz w:val="20"/>
          <w:szCs w:val="20"/>
        </w:rPr>
        <w:t xml:space="preserve">Anna I. Cameron, Gillian Petit, and Lindsay M. Tedds. 2024. Short-term Rental Study Engagement Report Back: What We Heard.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Anna Cameron, and Lindsay M. Tedds. 2024. A Comparative Analysis of Short-Term Rental Regulations in Six Alberta Municipalities. Report prepared for the City of Calgary under an Urban Alliance Agreement.</w:t>
      </w:r>
    </w:p>
    <w:p>
      <w:pPr>
        <w:spacing w:after="100"/>
        <w:ind w:left="720" w:hanging="360"/>
      </w:pPr>
      <w:r>
        <w:rPr>
          <w:rFonts w:ascii="Arial" w:cs="Arial" w:eastAsia="Arial" w:hAnsi="Arial"/>
          <w:color w:val="000000"/>
          <w:sz w:val="20"/>
          <w:szCs w:val="20"/>
        </w:rPr>
        <w:t xml:space="preserve">Anna I. Cameron and Lindsay M. Tedds. 2023. Managing the Short-term Rental Market in Canada: A Comparative Analysis of Policy, Planning and Regulatory Strategy in 25 Municipalities. Report prepared for the City of Calgary under an Urban Alliance Agreement.</w:t>
      </w:r>
    </w:p>
    <w:p>
      <w:pPr>
        <w:spacing w:after="100"/>
        <w:ind w:left="720" w:hanging="360"/>
      </w:pPr>
      <w:r>
        <w:rPr>
          <w:rFonts w:ascii="Arial" w:cs="Arial" w:eastAsia="Arial" w:hAnsi="Arial"/>
          <w:color w:val="000000"/>
          <w:sz w:val="20"/>
          <w:szCs w:val="20"/>
        </w:rPr>
        <w:t xml:space="preserve">Gillian Petit, Lindsay M. Tedds, and Anna I. Cameron. 2023. Patterns and Use of Short-term Rentals in Calgary, 2017–2021. Report prepared for the City of Calgary under an Urban Alliance Agreement.</w:t>
      </w:r>
    </w:p>
    <w:p>
      <w:pPr>
        <w:spacing w:after="100"/>
        <w:ind w:left="720" w:hanging="360"/>
      </w:pPr>
      <w:r>
        <w:rPr>
          <w:rFonts w:ascii="Arial" w:cs="Arial" w:eastAsia="Arial" w:hAnsi="Arial"/>
          <w:color w:val="000000"/>
          <w:sz w:val="20"/>
          <w:szCs w:val="20"/>
        </w:rPr>
        <w:t xml:space="preserve">Anna I. Cameron, Gillian Petit, and Lindsay M. Tedds. 2023. Assessing the Impact of Canada's National Housing Strategy: An Equity-based Data Stewardship Framework for New Housing Supply Initiatives. Report Prepared for the Canadian Housing Evidence Collaborative and Canada Mortgage and Housing Corporation.</w:t>
      </w:r>
    </w:p>
    <w:p>
      <w:pPr>
        <w:spacing w:after="100"/>
        <w:ind w:left="720" w:hanging="360"/>
      </w:pPr>
      <w:r>
        <w:rPr>
          <w:rFonts w:ascii="Arial" w:cs="Arial" w:eastAsia="Arial" w:hAnsi="Arial"/>
          <w:color w:val="000000"/>
          <w:sz w:val="20"/>
          <w:szCs w:val="20"/>
        </w:rPr>
        <w:t xml:space="preserve">Gillian Petit, Lindsay M. Tedds, and Molly Harrington. 2023. Nunavut Income Assistance: Patterns of Use and Recommendations for Reform. Prepared for BluePrint ADE and the Government of Nunavut.</w:t>
      </w:r>
    </w:p>
    <w:p>
      <w:pPr>
        <w:spacing w:after="100"/>
        <w:ind w:left="720" w:hanging="360"/>
      </w:pPr>
      <w:r>
        <w:rPr>
          <w:rFonts w:ascii="Arial" w:cs="Arial" w:eastAsia="Arial" w:hAnsi="Arial"/>
          <w:color w:val="000000"/>
          <w:sz w:val="20"/>
          <w:szCs w:val="20"/>
        </w:rPr>
        <w:t xml:space="preserve">Lindsay M. Tedds, Gillian Petit, Molly Harrington, and Dan Perrin. 2023. Basic Income Simulations in Nunavut. Prepared for BluePrint ADE and the Government of Nunavut.</w:t>
      </w:r>
    </w:p>
    <w:p>
      <w:pPr>
        <w:spacing w:after="100"/>
        <w:ind w:left="720" w:hanging="360"/>
      </w:pPr>
      <w:r>
        <w:rPr>
          <w:rFonts w:ascii="Arial" w:cs="Arial" w:eastAsia="Arial" w:hAnsi="Arial"/>
          <w:color w:val="000000"/>
          <w:sz w:val="20"/>
          <w:szCs w:val="20"/>
        </w:rPr>
        <w:t xml:space="preserve">Lindsay M. Tedds, Anna Cameron, Molly Harrington, Dan Perrin, and Gillian Petit. 2022. Basic Income Design Options in Nunavut for Modelling. Prepared for BluePrint ADE and the Government of Nunavut.</w:t>
      </w:r>
    </w:p>
    <w:p>
      <w:pPr>
        <w:spacing w:after="100"/>
        <w:ind w:left="720" w:hanging="360"/>
      </w:pPr>
      <w:r>
        <w:rPr>
          <w:rFonts w:ascii="Arial" w:cs="Arial" w:eastAsia="Arial" w:hAnsi="Arial"/>
          <w:color w:val="000000"/>
          <w:sz w:val="20"/>
          <w:szCs w:val="20"/>
        </w:rPr>
        <w:t xml:space="preserve">Lindsay M. Tedds, Anna Cameron, Molly Harrington, Dan Perrin, and Gillian Petit. 2021. Overview of Basic Income: A Discussion Paper. Prepared for BluePrint ADE and the Government of Nunavut. [Confidential Report]</w:t>
      </w:r>
    </w:p>
    <w:p>
      <w:pPr>
        <w:spacing w:after="100"/>
        <w:ind w:left="720" w:hanging="360"/>
      </w:pPr>
      <w:r>
        <w:rPr>
          <w:rFonts w:ascii="Arial" w:cs="Arial" w:eastAsia="Arial" w:hAnsi="Arial"/>
          <w:color w:val="000000"/>
          <w:sz w:val="20"/>
          <w:szCs w:val="20"/>
        </w:rPr>
        <w:t xml:space="preserve">Lindsay M. Tedds, Anna Cameron, and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2021. Assessing the State and Nature of Poverty in Nunavut. Prepared for BluePrint ADE and the Government of Nunavut.</w:t>
      </w:r>
    </w:p>
    <w:p>
      <w:pPr>
        <w:spacing w:after="100"/>
        <w:ind w:left="720" w:hanging="360"/>
      </w:pPr>
      <w:r>
        <w:rPr>
          <w:rFonts w:ascii="Arial" w:cs="Arial" w:eastAsia="Arial" w:hAnsi="Arial"/>
          <w:color w:val="000000"/>
          <w:sz w:val="20"/>
          <w:szCs w:val="20"/>
        </w:rPr>
        <w:t xml:space="preserve">Gillian Petit and Lindsay M. Tedds. 2021. Broad Overview of Income and Social Supports in Nunavut. Prepared for BluePrint ADE and the Government of Nunavut.</w:t>
      </w:r>
    </w:p>
    <w:p>
      <w:pPr>
        <w:spacing w:after="100"/>
        <w:ind w:left="720" w:hanging="360"/>
      </w:pPr>
      <w:r>
        <w:rPr>
          <w:rFonts w:ascii="Arial" w:cs="Arial" w:eastAsia="Arial" w:hAnsi="Arial"/>
          <w:color w:val="000000"/>
          <w:sz w:val="20"/>
          <w:szCs w:val="20"/>
        </w:rPr>
        <w:t xml:space="preserve">Lindsay M. Tedds. 2021. Assessing the Eligibility Criteria for Legal Aid Services in British Columbia. Expert report prepared for Ethos Law Group LLP in relation to Single Mothers' Alliance of BC Society v Her Majesty the Queen (plaintiff now the Centre for Family Equity, formerly the Single Mothers' Alliance of BC; case settled February 15, 2024).</w:t>
      </w:r>
    </w:p>
    <w:p>
      <w:pPr>
        <w:spacing w:after="100"/>
        <w:ind w:left="720" w:hanging="360"/>
      </w:pPr>
      <w:r>
        <w:rPr>
          <w:rFonts w:ascii="Arial" w:cs="Arial" w:eastAsia="Arial" w:hAnsi="Arial"/>
          <w:color w:val="000000"/>
          <w:sz w:val="20"/>
          <w:szCs w:val="20"/>
        </w:rPr>
        <w:t xml:space="preserve">David A. Green, J. Rhys Kesselman, and Lindsay M. Tedds. 2021. Covering All the Basics: Reform for a More Just Society. Report of the Expert Panel on Basic Income. Ministry of Social Development and Poverty Reduction, Government of British Columbia, 1–529.</w:t>
      </w:r>
    </w:p>
    <w:p>
      <w:pPr>
        <w:spacing w:after="100"/>
        <w:ind w:left="720" w:hanging="360"/>
      </w:pPr>
      <w:r>
        <w:rPr>
          <w:rFonts w:ascii="Arial" w:cs="Arial" w:eastAsia="Arial" w:hAnsi="Arial"/>
          <w:color w:val="000000"/>
          <w:sz w:val="20"/>
          <w:szCs w:val="20"/>
        </w:rPr>
        <w:t xml:space="preserve">David Green, J. Rhys Kesselman, Lindsay M. Tedds, Daria Crisan, and Gillian Petit. 2020. Basic Income Simulations for the Province of British Columbia. Research paper commissioned by the Expert Panel on Basic Income, British Columbia.</w:t>
      </w:r>
    </w:p>
    <w:p>
      <w:pPr>
        <w:spacing w:after="100"/>
        <w:ind w:left="720" w:hanging="360"/>
      </w:pPr>
      <w:r>
        <w:rPr>
          <w:rFonts w:ascii="Arial" w:cs="Arial" w:eastAsia="Arial" w:hAnsi="Arial"/>
          <w:color w:val="000000"/>
          <w:sz w:val="20"/>
          <w:szCs w:val="20"/>
        </w:rPr>
        <w:t xml:space="preserve">Anna Cameron and Lindsay M. Tedds. 2020. Gender-based Analysis Plus and Intersectionality: Overview, an enhanced framework, and B.C. case study. Research paper commissioned by the Expert Panel on Basic Income, British Columbia.</w:t>
      </w:r>
    </w:p>
    <w:p>
      <w:pPr>
        <w:spacing w:after="100"/>
        <w:ind w:left="720" w:hanging="360"/>
      </w:pPr>
      <w:r>
        <w:rPr>
          <w:rFonts w:ascii="Arial" w:cs="Arial" w:eastAsia="Arial" w:hAnsi="Arial"/>
          <w:color w:val="000000"/>
          <w:sz w:val="20"/>
          <w:szCs w:val="20"/>
        </w:rPr>
        <w:t xml:space="preserve">Anna Cameron and Lindsay M. Tedds. 2020. Gender-based Analysis Plus of Two Policy Alternatives: Basic Income and Basic Services.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Poverty in British Columbia: Income Thresholds, Trends, Rates, and Depths of Poverty.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Overview of the Income and Social Support System in British Columbia.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Programs-based Overview of Income and Social Support Programs for Working-Age Persons in British Columbia.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Interactions Between Income and Social Support Programs in BC.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Systems-level Reforms to B.C.'s Income and Social Support Programs Along Basic Income Lines.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Income Assistance in British Columbia: Reforms Along BI-lines. Research paper commissioned by the Expert Panel on Basic Income, British Columbia.</w:t>
      </w:r>
    </w:p>
    <w:p>
      <w:pPr>
        <w:spacing w:after="100"/>
        <w:ind w:left="720" w:hanging="360"/>
      </w:pPr>
      <w:r>
        <w:rPr>
          <w:rFonts w:ascii="Arial" w:cs="Arial" w:eastAsia="Arial" w:hAnsi="Arial"/>
          <w:color w:val="000000"/>
          <w:sz w:val="20"/>
          <w:szCs w:val="20"/>
        </w:rPr>
        <w:t xml:space="preserve">Gillian Petit and Lindsay M. Tedds. 2020. Gender-based Analysis of the Income and Social Support System in B.C. Research paper commissioned by the Expert Panel on Basic Income, British Columbia.</w:t>
      </w:r>
    </w:p>
    <w:p>
      <w:pPr>
        <w:spacing w:after="100"/>
        <w:ind w:left="720" w:hanging="360"/>
      </w:pPr>
      <w:r>
        <w:rPr>
          <w:rFonts w:ascii="Arial" w:cs="Arial" w:eastAsia="Arial" w:hAnsi="Arial"/>
          <w:color w:val="000000"/>
          <w:sz w:val="20"/>
          <w:szCs w:val="20"/>
        </w:rPr>
        <w:t xml:space="preserve">Lindsay M. Tedds, Daria Crisan, and Gillian Petit. 2020. Basic Income in Canada: Principles, Design Features, and Canadian Political Commitments. Research paper commissioned by the Expert Panel on Basic Income, British Columbia.</w:t>
      </w:r>
    </w:p>
    <w:p>
      <w:pPr>
        <w:spacing w:after="100"/>
        <w:ind w:left="720" w:hanging="360"/>
      </w:pPr>
      <w:r>
        <w:rPr>
          <w:rFonts w:ascii="Arial" w:cs="Arial" w:eastAsia="Arial" w:hAnsi="Arial"/>
          <w:color w:val="000000"/>
          <w:sz w:val="20"/>
          <w:szCs w:val="20"/>
        </w:rPr>
        <w:t xml:space="preserve">Lindsay M. Tedds and Daria Crisan. 2020. Evaluating Key Proposals for a Basic Income in Canada. Research paper commissioned by the Expert Panel on Basic Income, British Columbia.</w:t>
      </w:r>
    </w:p>
    <w:p>
      <w:pPr>
        <w:spacing w:after="100"/>
        <w:ind w:left="720" w:hanging="360"/>
      </w:pPr>
      <w:r>
        <w:rPr>
          <w:rFonts w:ascii="Arial" w:cs="Arial" w:eastAsia="Arial" w:hAnsi="Arial"/>
          <w:color w:val="000000"/>
          <w:sz w:val="20"/>
          <w:szCs w:val="20"/>
        </w:rPr>
        <w:t xml:space="preserve">City of Calgary Financial Task Force. 2020. Report and Recommendations.</w:t>
      </w:r>
    </w:p>
    <w:p>
      <w:pPr>
        <w:spacing w:after="100"/>
        <w:ind w:left="720" w:hanging="360"/>
      </w:pPr>
      <w:r>
        <w:rPr>
          <w:rFonts w:ascii="Arial" w:cs="Arial" w:eastAsia="Arial" w:hAnsi="Arial"/>
          <w:color w:val="000000"/>
          <w:sz w:val="20"/>
          <w:szCs w:val="20"/>
        </w:rPr>
        <w:t xml:space="preserve">Ecofiscal Commission. 2018. Cutting the Waste: How to Save Money While Improving Our Solid Waste Systems. October.</w:t>
      </w:r>
    </w:p>
    <w:p>
      <w:pPr>
        <w:spacing w:after="100"/>
        <w:ind w:left="720" w:hanging="360"/>
      </w:pPr>
      <w:r>
        <w:rPr>
          <w:rFonts w:ascii="Arial" w:cs="Arial" w:eastAsia="Arial" w:hAnsi="Arial"/>
          <w:color w:val="000000"/>
          <w:sz w:val="20"/>
          <w:szCs w:val="20"/>
        </w:rPr>
        <w:t xml:space="preserve">Ecofiscal Commission. 2018. Responsible Risk: How Putting a Price on Environmental Risk Makes Disasters Less Likely. July.</w:t>
      </w:r>
    </w:p>
    <w:p>
      <w:pPr>
        <w:spacing w:after="100"/>
        <w:ind w:left="720" w:hanging="360"/>
      </w:pPr>
      <w:r>
        <w:rPr>
          <w:rFonts w:ascii="Arial" w:cs="Arial" w:eastAsia="Arial" w:hAnsi="Arial"/>
          <w:color w:val="000000"/>
          <w:sz w:val="20"/>
          <w:szCs w:val="20"/>
        </w:rPr>
        <w:t xml:space="preserve">Lindsay M. Tedds, David Duff, and Paul Ramsey. 2018. Medical Services Premium Task Force: Tax Reform Proposals for the Province of British Columbia. BC Ministry of Finance, March.</w:t>
      </w:r>
    </w:p>
    <w:p>
      <w:pPr>
        <w:spacing w:after="100"/>
        <w:ind w:left="720" w:hanging="360"/>
      </w:pPr>
      <w:r>
        <w:rPr>
          <w:rFonts w:ascii="Arial" w:cs="Arial" w:eastAsia="Arial" w:hAnsi="Arial"/>
          <w:color w:val="000000"/>
          <w:sz w:val="20"/>
          <w:szCs w:val="20"/>
        </w:rPr>
        <w:t xml:space="preserve">Deloitte Toronto and Lindsay M. Tedds. 2016. Research and Recommendations on Using Data Analytics to Address the Underground Economy in Canada. Ontario Ministry of Finance, December. [Confidential Report]</w:t>
      </w:r>
    </w:p>
    <w:p>
      <w:pPr>
        <w:spacing w:after="100"/>
        <w:ind w:left="720" w:hanging="360"/>
      </w:pPr>
      <w:r>
        <w:rPr>
          <w:rFonts w:ascii="Arial" w:cs="Arial" w:eastAsia="Arial" w:hAnsi="Arial"/>
          <w:color w:val="000000"/>
          <w:sz w:val="20"/>
          <w:szCs w:val="20"/>
        </w:rPr>
        <w:t xml:space="preserve">Ryan A. Compton, Daniel Sandler, and Lindsay M. Tedds. 2009. Comments on National Instrument 55-104 Insider Reporting Requirements and Exemptions, Ontario Securities Commission, March.</w:t>
      </w:r>
    </w:p>
    <w:p>
      <w:pPr>
        <w:spacing w:after="100"/>
        <w:ind w:left="720" w:hanging="360"/>
      </w:pPr>
      <w:r>
        <w:rPr>
          <w:rFonts w:ascii="Arial" w:cs="Arial" w:eastAsia="Arial" w:hAnsi="Arial"/>
          <w:color w:val="000000"/>
          <w:sz w:val="20"/>
          <w:szCs w:val="20"/>
        </w:rPr>
        <w:t xml:space="preserve">Lynda Gagne and Lindsay M. Tedds. 2008. Review of Econometric Model for the Evaluation of Tobacco Control Initiatives in Canada, Tobacco Control Programme, Health Canada, March. [Confidential Report]</w:t>
      </w:r>
    </w:p>
    <w:p>
      <w:pPr>
        <w:spacing w:after="80" w:before="160"/>
      </w:pPr>
      <w:r>
        <w:rPr>
          <w:rFonts w:ascii="Arial" w:cs="Arial" w:eastAsia="Arial" w:hAnsi="Arial"/>
          <w:b/>
          <w:bCs/>
          <w:color w:val="404040"/>
          <w:sz w:val="22"/>
          <w:szCs w:val="22"/>
        </w:rPr>
        <w:t xml:space="preserve">Software / Code</w:t>
      </w:r>
    </w:p>
    <w:p>
      <w:pPr>
        <w:spacing w:after="100"/>
        <w:ind w:left="720" w:hanging="360"/>
      </w:pPr>
      <w:r>
        <w:rPr>
          <w:rFonts w:ascii="Arial" w:cs="Arial" w:eastAsia="Arial" w:hAnsi="Arial"/>
          <w:color w:val="000000"/>
          <w:sz w:val="20"/>
          <w:szCs w:val="20"/>
        </w:rPr>
        <w:t xml:space="preserve">Gillian Petit and Lindsay M. Tedds. 2026. A Web-based Interactive Visualization of Income and Social Support Programs in Alberta. GitHub repository.</w:t>
      </w:r>
    </w:p>
    <w:p>
      <w:pPr>
        <w:spacing w:after="100"/>
        <w:ind w:left="720" w:hanging="360"/>
      </w:pPr>
      <w:r>
        <w:rPr>
          <w:rFonts w:ascii="Arial" w:cs="Arial" w:eastAsia="Arial" w:hAnsi="Arial"/>
          <w:color w:val="000000"/>
          <w:sz w:val="20"/>
          <w:szCs w:val="20"/>
        </w:rPr>
        <w:t xml:space="preserve">Gillian Petit and Lindsay M. Tedds. 2022. A Web-based Interactive Visualization of Nunavut Basic Income Simulations. GitHub Repository.</w:t>
      </w:r>
    </w:p>
    <w:p>
      <w:pPr>
        <w:spacing w:after="100"/>
        <w:ind w:left="720" w:hanging="360"/>
      </w:pPr>
      <w:r>
        <w:rPr>
          <w:rFonts w:ascii="Arial" w:cs="Arial" w:eastAsia="Arial" w:hAnsi="Arial"/>
          <w:color w:val="000000"/>
          <w:sz w:val="20"/>
          <w:szCs w:val="20"/>
        </w:rPr>
        <w:t xml:space="preserve">Gillian Petit and Lindsay M. Tedds. 2019. A Web-based Interactive Visualization of Income and Social Support Programs in Nunavut. GitHub repository.</w:t>
      </w:r>
    </w:p>
    <w:p>
      <w:pPr>
        <w:spacing w:after="100"/>
        <w:ind w:left="720" w:hanging="360"/>
      </w:pPr>
      <w:r>
        <w:rPr>
          <w:rFonts w:ascii="Arial" w:cs="Arial" w:eastAsia="Arial" w:hAnsi="Arial"/>
          <w:color w:val="000000"/>
          <w:sz w:val="20"/>
          <w:szCs w:val="20"/>
        </w:rPr>
        <w:t xml:space="preserve">Gillian Petit and Lindsay M. Tedds. 2020. A Web-based Interactive Visualization of B.C. Basic Income Simulations. GitHub Repository.</w:t>
      </w:r>
    </w:p>
    <w:p>
      <w:pPr>
        <w:spacing w:after="100"/>
        <w:ind w:left="720" w:hanging="360"/>
      </w:pPr>
      <w:r>
        <w:rPr>
          <w:rFonts w:ascii="Arial" w:cs="Arial" w:eastAsia="Arial" w:hAnsi="Arial"/>
          <w:color w:val="000000"/>
          <w:sz w:val="20"/>
          <w:szCs w:val="20"/>
        </w:rPr>
        <w:t xml:space="preserve">Gillian Petit and Lindsay M. Tedds. 2019. A Web-based Interactive Visualization of Income and Social Support Programs in B.C. GitHub repository.</w:t>
      </w:r>
    </w:p>
    <w:p>
      <w:pPr>
        <w:spacing w:after="80" w:before="160"/>
      </w:pPr>
      <w:r>
        <w:rPr>
          <w:rFonts w:ascii="Arial" w:cs="Arial" w:eastAsia="Arial" w:hAnsi="Arial"/>
          <w:b/>
          <w:bCs/>
          <w:color w:val="404040"/>
          <w:sz w:val="22"/>
          <w:szCs w:val="22"/>
        </w:rPr>
        <w:t xml:space="preserve">E-Guides</w:t>
      </w:r>
    </w:p>
    <w:p>
      <w:pPr>
        <w:spacing w:after="100"/>
        <w:ind w:left="720" w:hanging="360"/>
      </w:pPr>
      <w:r>
        <w:rPr>
          <w:rFonts w:ascii="Arial" w:cs="Arial" w:eastAsia="Arial" w:hAnsi="Arial"/>
          <w:color w:val="000000"/>
          <w:sz w:val="20"/>
          <w:szCs w:val="20"/>
        </w:rPr>
        <w:t xml:space="preserve">Catherine Althaus and Lindsay M. Tedds. 2016. User Fees Design and Implementation Online Guide. Toronto: Canadian Tax Foundation.</w:t>
      </w:r>
    </w:p>
    <w:p>
      <w:pPr>
        <w:spacing w:after="80" w:before="160"/>
      </w:pPr>
      <w:r>
        <w:rPr>
          <w:rFonts w:ascii="Arial" w:cs="Arial" w:eastAsia="Arial" w:hAnsi="Arial"/>
          <w:b/>
          <w:bCs/>
          <w:color w:val="404040"/>
          <w:sz w:val="22"/>
          <w:szCs w:val="22"/>
        </w:rPr>
        <w:t xml:space="preserve">Teaching Content</w:t>
      </w:r>
    </w:p>
    <w:p>
      <w:pPr>
        <w:spacing w:after="100"/>
        <w:ind w:left="720" w:hanging="360"/>
      </w:pPr>
      <w:r>
        <w:rPr>
          <w:rFonts w:ascii="Arial" w:cs="Arial" w:eastAsia="Arial" w:hAnsi="Arial"/>
          <w:color w:val="000000"/>
          <w:sz w:val="20"/>
          <w:szCs w:val="20"/>
        </w:rPr>
        <w:t xml:space="preserve">Lynda Gagne, Lindsay Tedds, and </w:t>
      </w:r>
      <w:r>
        <w:rPr>
          <w:rFonts w:ascii="Arial" w:cs="Arial" w:eastAsia="Arial" w:hAnsi="Arial"/>
          <w:b/>
          <w:bCs/>
          <w:color w:val="000000"/>
          <w:sz w:val="20"/>
          <w:szCs w:val="20"/>
        </w:rPr>
        <w:t xml:space="preserve">Jennifer Sullivan</w:t>
      </w:r>
      <w:r>
        <w:rPr>
          <w:rFonts w:ascii="Arial" w:cs="Arial" w:eastAsia="Arial" w:hAnsi="Arial"/>
          <w:color w:val="000000"/>
          <w:sz w:val="20"/>
          <w:szCs w:val="20"/>
        </w:rPr>
        <w:t xml:space="preserve">. 2008. Introduction to Data Analysis Using the UT/DLS: Microdata Analysis and Sub-setting Service, December. Available on the University of Toronto UT/DLS Access Page.</w:t>
      </w:r>
    </w:p>
    <w:p>
      <w:pPr>
        <w:spacing w:after="80" w:before="160"/>
      </w:pPr>
      <w:r>
        <w:rPr>
          <w:rFonts w:ascii="Arial" w:cs="Arial" w:eastAsia="Arial" w:hAnsi="Arial"/>
          <w:b/>
          <w:bCs/>
          <w:color w:val="404040"/>
          <w:sz w:val="22"/>
          <w:szCs w:val="22"/>
        </w:rPr>
        <w:t xml:space="preserve">Conference Proceedings</w:t>
      </w:r>
    </w:p>
    <w:p>
      <w:pPr>
        <w:spacing w:after="100"/>
        <w:ind w:left="720" w:hanging="360"/>
      </w:pPr>
      <w:r>
        <w:rPr>
          <w:rFonts w:ascii="Arial" w:cs="Arial" w:eastAsia="Arial" w:hAnsi="Arial"/>
          <w:color w:val="000000"/>
          <w:sz w:val="20"/>
          <w:szCs w:val="20"/>
        </w:rPr>
        <w:t xml:space="preserve">Larry Chapman, Ken McKenzie, Shawn Porter, and Lindsay Tedds. Tax Policy Forum: Review of Tax Expenditures, Budget 2016. Canadian Tax Foundation, 2016 Conference Report 4, 1–25.</w:t>
      </w:r>
    </w:p>
    <w:p>
      <w:pPr>
        <w:spacing w:after="100"/>
        <w:ind w:left="720" w:hanging="360"/>
      </w:pPr>
      <w:r>
        <w:rPr>
          <w:rFonts w:ascii="Arial" w:cs="Arial" w:eastAsia="Arial" w:hAnsi="Arial"/>
          <w:color w:val="000000"/>
          <w:sz w:val="20"/>
          <w:szCs w:val="20"/>
        </w:rPr>
        <w:t xml:space="preserve">Lynne Siemens, Lindsay M. Tedds, and </w:t>
      </w:r>
      <w:r>
        <w:rPr>
          <w:rFonts w:ascii="Arial" w:cs="Arial" w:eastAsia="Arial" w:hAnsi="Arial"/>
          <w:b/>
          <w:bCs/>
          <w:color w:val="000000"/>
          <w:sz w:val="20"/>
          <w:szCs w:val="20"/>
        </w:rPr>
        <w:t xml:space="preserve">Tamara Checkley</w:t>
      </w:r>
      <w:r>
        <w:rPr>
          <w:rFonts w:ascii="Arial" w:cs="Arial" w:eastAsia="Arial" w:hAnsi="Arial"/>
          <w:color w:val="000000"/>
          <w:sz w:val="20"/>
          <w:szCs w:val="20"/>
        </w:rPr>
        <w:t xml:space="preserve">. Exploring a Potential Policy Framework to Support Succession Planning in Small and Family Businesses. Canadian Council for Small Business and Entrepreneurship.</w:t>
      </w:r>
    </w:p>
    <w:p>
      <w:pPr>
        <w:spacing w:after="80" w:before="160"/>
      </w:pPr>
      <w:r>
        <w:rPr>
          <w:rFonts w:ascii="Arial" w:cs="Arial" w:eastAsia="Arial" w:hAnsi="Arial"/>
          <w:b/>
          <w:bCs/>
          <w:color w:val="404040"/>
          <w:sz w:val="22"/>
          <w:szCs w:val="22"/>
        </w:rPr>
        <w:t xml:space="preserve">Responses</w:t>
      </w:r>
    </w:p>
    <w:p>
      <w:pPr>
        <w:spacing w:after="100"/>
        <w:ind w:left="720" w:hanging="360"/>
      </w:pPr>
      <w:r>
        <w:rPr>
          <w:rFonts w:ascii="Arial" w:cs="Arial" w:eastAsia="Arial" w:hAnsi="Arial"/>
          <w:color w:val="000000"/>
          <w:sz w:val="20"/>
          <w:szCs w:val="20"/>
        </w:rPr>
        <w:t xml:space="preserve">Lindsay M. Tedds and David E.A. Giles. 2005. Response to Breusch's Critique. 53 Canadian Tax Journal 392–395.</w:t>
      </w:r>
    </w:p>
    <w:p>
      <w:pPr>
        <w:spacing w:after="100"/>
        <w:ind w:left="720" w:hanging="360"/>
      </w:pPr>
      <w:r>
        <w:rPr>
          <w:rFonts w:ascii="Arial" w:cs="Arial" w:eastAsia="Arial" w:hAnsi="Arial"/>
          <w:color w:val="000000"/>
          <w:sz w:val="20"/>
          <w:szCs w:val="20"/>
        </w:rPr>
        <w:t xml:space="preserve">David E.A. Giles and Lindsay M. Tedds. 2002. Response [to Comments on Taxes and the Canadian Underground Economy]. 50 Canadian Tax Journal 1662–67.</w:t>
      </w:r>
    </w:p>
    <w:p>
      <w:pPr>
        <w:spacing w:after="80" w:before="160"/>
      </w:pPr>
      <w:r>
        <w:rPr>
          <w:rFonts w:ascii="Arial" w:cs="Arial" w:eastAsia="Arial" w:hAnsi="Arial"/>
          <w:b/>
          <w:bCs/>
          <w:color w:val="404040"/>
          <w:sz w:val="22"/>
          <w:szCs w:val="22"/>
        </w:rPr>
        <w:t xml:space="preserve">Book Reviews</w:t>
      </w:r>
    </w:p>
    <w:p>
      <w:pPr>
        <w:spacing w:after="100"/>
        <w:ind w:left="720" w:hanging="360"/>
      </w:pPr>
      <w:r>
        <w:rPr>
          <w:rFonts w:ascii="Arial" w:cs="Arial" w:eastAsia="Arial" w:hAnsi="Arial"/>
          <w:color w:val="000000"/>
          <w:sz w:val="20"/>
          <w:szCs w:val="20"/>
        </w:rPr>
        <w:t xml:space="preserve">Lindsay M. Tedds. 2023. A Sales Tax For Alberta: Why and How [Review of the edited volume by Robert L. Ascah]. Alberta Views. March.</w:t>
      </w:r>
    </w:p>
    <w:p>
      <w:pPr>
        <w:spacing w:after="80" w:before="160"/>
      </w:pPr>
      <w:r>
        <w:rPr>
          <w:rFonts w:ascii="Arial" w:cs="Arial" w:eastAsia="Arial" w:hAnsi="Arial"/>
          <w:b/>
          <w:bCs/>
          <w:color w:val="404040"/>
          <w:sz w:val="22"/>
          <w:szCs w:val="22"/>
        </w:rPr>
        <w:t xml:space="preserve">General Interest Publications</w:t>
      </w:r>
    </w:p>
    <w:p>
      <w:pPr>
        <w:spacing w:after="100"/>
        <w:ind w:left="720" w:hanging="360"/>
      </w:pPr>
      <w:r>
        <w:rPr>
          <w:rFonts w:ascii="Arial" w:cs="Arial" w:eastAsia="Arial" w:hAnsi="Arial"/>
          <w:color w:val="000000"/>
          <w:sz w:val="20"/>
          <w:szCs w:val="20"/>
        </w:rPr>
        <w:t xml:space="preserve">Lindsay M. Tedds. 2026. What Pierre Poilievre Doesn't Get About His Economic Hero. The Tyee, April 27, 2026.</w:t>
      </w:r>
    </w:p>
    <w:p>
      <w:pPr>
        <w:spacing w:after="100"/>
        <w:ind w:left="720" w:hanging="360"/>
      </w:pPr>
      <w:r>
        <w:rPr>
          <w:rFonts w:ascii="Arial" w:cs="Arial" w:eastAsia="Arial" w:hAnsi="Arial"/>
          <w:color w:val="000000"/>
          <w:sz w:val="20"/>
          <w:szCs w:val="20"/>
        </w:rPr>
        <w:t xml:space="preserve">Gillian Petit and Lindsay M. Tedds. 2024. Fact-checking BC United's Tax-Cut Proposal. Policy Options, August 21, 2024.</w:t>
      </w:r>
    </w:p>
    <w:p>
      <w:pPr>
        <w:spacing w:after="100"/>
        <w:ind w:left="720" w:hanging="360"/>
      </w:pPr>
      <w:r>
        <w:rPr>
          <w:rFonts w:ascii="Arial" w:cs="Arial" w:eastAsia="Arial" w:hAnsi="Arial"/>
          <w:color w:val="000000"/>
          <w:sz w:val="20"/>
          <w:szCs w:val="20"/>
        </w:rPr>
        <w:t xml:space="preserve">Gillian Petit and Lindsay M. Tedds. 2023. Who Would Benefit from the UCP Personal Income Tax Proposal in Alberta? Policy Options, May 18, 2023.</w:t>
      </w:r>
    </w:p>
    <w:p>
      <w:pPr>
        <w:spacing w:after="100"/>
        <w:ind w:left="720" w:hanging="360"/>
      </w:pPr>
      <w:r>
        <w:rPr>
          <w:rFonts w:ascii="Arial" w:cs="Arial" w:eastAsia="Arial" w:hAnsi="Arial"/>
          <w:color w:val="000000"/>
          <w:sz w:val="20"/>
          <w:szCs w:val="20"/>
        </w:rPr>
        <w:t xml:space="preserve">David A. Green and Lindsay M. Tedds. 2023. Basic Income Isn't the Best Way to Create a Just and Inclusive Society. The Globe and Mail, May 5, 2023.</w:t>
      </w:r>
    </w:p>
    <w:p>
      <w:pPr>
        <w:spacing w:after="100"/>
        <w:ind w:left="720" w:hanging="360"/>
      </w:pPr>
      <w:r>
        <w:rPr>
          <w:rFonts w:ascii="Arial" w:cs="Arial" w:eastAsia="Arial" w:hAnsi="Arial"/>
          <w:color w:val="000000"/>
          <w:sz w:val="20"/>
          <w:szCs w:val="20"/>
        </w:rPr>
        <w:t xml:space="preserve">Jennifer Robson, Tammy Schirle, and Lindsay M. Tedds. 2022. The Federal Dental Plan May Fall Short of Expectations. Policy Options, December 1, 2022.</w:t>
      </w:r>
    </w:p>
    <w:p>
      <w:pPr>
        <w:spacing w:after="100"/>
        <w:ind w:left="720" w:hanging="360"/>
      </w:pPr>
      <w:r>
        <w:rPr>
          <w:rFonts w:ascii="Arial" w:cs="Arial" w:eastAsia="Arial" w:hAnsi="Arial"/>
          <w:color w:val="000000"/>
          <w:sz w:val="20"/>
          <w:szCs w:val="20"/>
        </w:rPr>
        <w:t xml:space="preserve">Gillian Petit, Lindsay M. Tedds, and Jennifer Robson. 2022. Looking at the Expansion of the GST Credit. Policy Options, September 26, 2022.</w:t>
      </w:r>
    </w:p>
    <w:p>
      <w:pPr>
        <w:spacing w:after="100"/>
        <w:ind w:left="720" w:hanging="360"/>
      </w:pPr>
      <w:r>
        <w:rPr>
          <w:rFonts w:ascii="Arial" w:cs="Arial" w:eastAsia="Arial" w:hAnsi="Arial"/>
          <w:color w:val="000000"/>
          <w:sz w:val="20"/>
          <w:szCs w:val="20"/>
        </w:rPr>
        <w:t xml:space="preserve">Gillian Petit, Lindsay M. Tedds, and Tammy Schirle. 2021. The Conservatives' Child Care Plan Will Help Poorer Families But Reinforce Regional Inequality. Policy Options, September 10, 2021.</w:t>
      </w:r>
    </w:p>
    <w:p>
      <w:pPr>
        <w:spacing w:after="100"/>
        <w:ind w:left="720" w:hanging="360"/>
      </w:pPr>
      <w:r>
        <w:rPr>
          <w:rFonts w:ascii="Arial" w:cs="Arial" w:eastAsia="Arial" w:hAnsi="Arial"/>
          <w:color w:val="000000"/>
          <w:sz w:val="20"/>
          <w:szCs w:val="20"/>
        </w:rPr>
        <w:t xml:space="preserve">David Green, Rhys Kesselman, Lindsay Tedds, and Daniel Perrin. 2021. Opinion: Concrete Steps Toward a More Just Society for Budgets '22 and Beyond. Vancouver Sun, August 25.</w:t>
      </w:r>
    </w:p>
    <w:p>
      <w:pPr>
        <w:spacing w:after="100"/>
        <w:ind w:left="720" w:hanging="360"/>
      </w:pPr>
      <w:r>
        <w:rPr>
          <w:rFonts w:ascii="Arial" w:cs="Arial" w:eastAsia="Arial" w:hAnsi="Arial"/>
          <w:color w:val="000000"/>
          <w:sz w:val="20"/>
          <w:szCs w:val="20"/>
        </w:rPr>
        <w:t xml:space="preserve">David A. Green, Jonathan Rhys Kesselman, Daniel Perrin, and Lindsay M. Tedds. 2021. What Can the CERB Teach Canada About Establishing a Universal Basic Income? Very Little. The Globe and Mail, April 19.</w:t>
      </w:r>
    </w:p>
    <w:p>
      <w:pPr>
        <w:spacing w:after="100"/>
        <w:ind w:left="720" w:hanging="360"/>
      </w:pPr>
      <w:r>
        <w:rPr>
          <w:rFonts w:ascii="Arial" w:cs="Arial" w:eastAsia="Arial" w:hAnsi="Arial"/>
          <w:color w:val="000000"/>
          <w:sz w:val="20"/>
          <w:szCs w:val="20"/>
        </w:rPr>
        <w:t xml:space="preserve">Gillian Petit and Lindsay M. Tedds. 2020. Our Punishingly Complex Income and Social Supports System. Macleans, December 9.</w:t>
      </w:r>
    </w:p>
    <w:p>
      <w:pPr>
        <w:spacing w:after="100"/>
        <w:ind w:left="720" w:hanging="360"/>
      </w:pPr>
      <w:r>
        <w:rPr>
          <w:rFonts w:ascii="Arial" w:cs="Arial" w:eastAsia="Arial" w:hAnsi="Arial"/>
          <w:color w:val="000000"/>
          <w:sz w:val="20"/>
          <w:szCs w:val="20"/>
        </w:rPr>
        <w:t xml:space="preserve">David A. Green, J. Rhys Kesselman, and Lindsay M. Tedds. 2020. A Basic Income is Not as Simple as You Might Think. Policy Options, May 26, 2020.</w:t>
      </w:r>
    </w:p>
    <w:p>
      <w:pPr>
        <w:spacing w:after="100"/>
        <w:ind w:left="720" w:hanging="360"/>
      </w:pPr>
      <w:r>
        <w:rPr>
          <w:rFonts w:ascii="Arial" w:cs="Arial" w:eastAsia="Arial" w:hAnsi="Arial"/>
          <w:color w:val="000000"/>
          <w:sz w:val="20"/>
          <w:szCs w:val="20"/>
        </w:rPr>
        <w:t xml:space="preserve">Rob Gillezeau, Gillian Petit, and Lindsay M. Tedds. 2020. Local Governments Face Several Constraints, but There are 13 Short-Run Policy Actions they Can Take. Policy Options, April 23, 2020.</w:t>
      </w:r>
    </w:p>
    <w:p>
      <w:pPr>
        <w:spacing w:after="100"/>
        <w:ind w:left="720" w:hanging="360"/>
      </w:pPr>
      <w:r>
        <w:rPr>
          <w:rFonts w:ascii="Arial" w:cs="Arial" w:eastAsia="Arial" w:hAnsi="Arial"/>
          <w:color w:val="000000"/>
          <w:sz w:val="20"/>
          <w:szCs w:val="20"/>
        </w:rPr>
        <w:t xml:space="preserve">Lindsay M. Tedds. 2019. Let's End the Period Taboo. Making Menstrual Products Available is About Dignity, Nothing Less. Toronto Star, May 28.</w:t>
      </w:r>
    </w:p>
    <w:p>
      <w:pPr>
        <w:spacing w:after="100"/>
        <w:ind w:left="720" w:hanging="360"/>
      </w:pPr>
      <w:r>
        <w:rPr>
          <w:rFonts w:ascii="Arial" w:cs="Arial" w:eastAsia="Arial" w:hAnsi="Arial"/>
          <w:color w:val="000000"/>
          <w:sz w:val="20"/>
          <w:szCs w:val="20"/>
        </w:rPr>
        <w:t xml:space="preserve">Lindsay M. Tedds. 2018. Finally A Poverty Plan. But Will it Work? Macleans, December 4.</w:t>
      </w:r>
    </w:p>
    <w:p>
      <w:pPr>
        <w:spacing w:after="100"/>
        <w:ind w:left="720" w:hanging="360"/>
      </w:pPr>
      <w:r>
        <w:rPr>
          <w:rFonts w:ascii="Arial" w:cs="Arial" w:eastAsia="Arial" w:hAnsi="Arial"/>
          <w:color w:val="000000"/>
          <w:sz w:val="20"/>
          <w:szCs w:val="20"/>
        </w:rPr>
        <w:t xml:space="preserve">Lindsay M. Tedds. 2018. The Winners and Losers if Alberta Returns to a Flat Tax System. Macleans, May 9.</w:t>
      </w:r>
    </w:p>
    <w:p>
      <w:pPr>
        <w:spacing w:after="100"/>
        <w:ind w:left="720" w:hanging="360"/>
      </w:pPr>
      <w:r>
        <w:rPr>
          <w:rFonts w:ascii="Arial" w:cs="Arial" w:eastAsia="Arial" w:hAnsi="Arial"/>
          <w:color w:val="000000"/>
          <w:sz w:val="20"/>
          <w:szCs w:val="20"/>
        </w:rPr>
        <w:t xml:space="preserve">Lindsay M. Tedds. 2017. B.C.'s NDP Tax Man Gives With One Hand, Takes With the Other. The Globe and Mail, September 14.</w:t>
      </w:r>
    </w:p>
    <w:p>
      <w:pPr>
        <w:spacing w:after="100"/>
        <w:ind w:left="720" w:hanging="360"/>
      </w:pPr>
      <w:r>
        <w:rPr>
          <w:rFonts w:ascii="Arial" w:cs="Arial" w:eastAsia="Arial" w:hAnsi="Arial"/>
          <w:color w:val="000000"/>
          <w:sz w:val="20"/>
          <w:szCs w:val="20"/>
        </w:rPr>
        <w:t xml:space="preserve">Lindsay M. Tedds. 2016. The Foreign Buyer Tax Leaves Us With the Wrong Kind Of Speculator. The Globe and Mail, July 29.</w:t>
      </w:r>
    </w:p>
    <w:p>
      <w:pPr>
        <w:spacing w:after="100"/>
        <w:ind w:left="720" w:hanging="360"/>
      </w:pPr>
      <w:r>
        <w:rPr>
          <w:rFonts w:ascii="Arial" w:cs="Arial" w:eastAsia="Arial" w:hAnsi="Arial"/>
          <w:color w:val="000000"/>
          <w:sz w:val="20"/>
          <w:szCs w:val="20"/>
        </w:rPr>
        <w:t xml:space="preserve">Lindsay M. Tedds. 2016. The Unintended Consequences of Boosting Parental Leave. Macleans, April 25.</w:t>
      </w:r>
    </w:p>
    <w:p>
      <w:pPr>
        <w:spacing w:after="100"/>
        <w:ind w:left="720" w:hanging="360"/>
      </w:pPr>
      <w:r>
        <w:rPr>
          <w:rFonts w:ascii="Arial" w:cs="Arial" w:eastAsia="Arial" w:hAnsi="Arial"/>
          <w:color w:val="000000"/>
          <w:sz w:val="20"/>
          <w:szCs w:val="20"/>
        </w:rPr>
        <w:t xml:space="preserve">Lindsay M. Tedds. 2016. Ottawa Should Move to Regulate Assisted Reproduction. Macleans, March 16.</w:t>
      </w:r>
    </w:p>
    <w:p>
      <w:pPr>
        <w:spacing w:after="100"/>
        <w:ind w:left="720" w:hanging="360"/>
      </w:pPr>
      <w:r>
        <w:rPr>
          <w:rFonts w:ascii="Arial" w:cs="Arial" w:eastAsia="Arial" w:hAnsi="Arial"/>
          <w:color w:val="000000"/>
          <w:sz w:val="20"/>
          <w:szCs w:val="20"/>
        </w:rPr>
        <w:t xml:space="preserve">Lindsay M. Tedds. 2016. Quantifying the Impact of Canada's Second-Hand Economy. The Globe and Mail, March 1.</w:t>
      </w:r>
    </w:p>
    <w:p>
      <w:pPr>
        <w:spacing w:after="100"/>
        <w:ind w:left="720" w:hanging="360"/>
      </w:pPr>
      <w:r>
        <w:rPr>
          <w:rFonts w:ascii="Arial" w:cs="Arial" w:eastAsia="Arial" w:hAnsi="Arial"/>
          <w:color w:val="000000"/>
          <w:sz w:val="20"/>
          <w:szCs w:val="20"/>
        </w:rPr>
        <w:t xml:space="preserve">Lindsay M. Tedds. 2015. Fewer Rich People Ahead? Macleans, December 9.</w:t>
      </w:r>
    </w:p>
    <w:p>
      <w:pPr>
        <w:spacing w:after="100"/>
        <w:ind w:left="720" w:hanging="360"/>
      </w:pPr>
      <w:r>
        <w:rPr>
          <w:rFonts w:ascii="Arial" w:cs="Arial" w:eastAsia="Arial" w:hAnsi="Arial"/>
          <w:color w:val="000000"/>
          <w:sz w:val="20"/>
          <w:szCs w:val="20"/>
        </w:rPr>
        <w:t xml:space="preserve">Lindsay M. Tedds. 2015. How Alberta's Public Sector Salary Disclosure Could Backfire. Macleans, November 6.</w:t>
      </w:r>
    </w:p>
    <w:p>
      <w:pPr>
        <w:spacing w:after="100"/>
        <w:ind w:left="720" w:hanging="360"/>
      </w:pPr>
      <w:r>
        <w:rPr>
          <w:rFonts w:ascii="Arial" w:cs="Arial" w:eastAsia="Arial" w:hAnsi="Arial"/>
          <w:color w:val="000000"/>
          <w:sz w:val="20"/>
          <w:szCs w:val="20"/>
        </w:rPr>
        <w:t xml:space="preserve">Lindsay M. Tedds. 2015. Increase Taxes on the Highest Earners? First, Consider the Alternatives. The Globe and Mail, October 30.</w:t>
      </w:r>
    </w:p>
    <w:p>
      <w:pPr>
        <w:spacing w:after="100"/>
        <w:ind w:left="720" w:hanging="360"/>
      </w:pPr>
      <w:r>
        <w:rPr>
          <w:rFonts w:ascii="Arial" w:cs="Arial" w:eastAsia="Arial" w:hAnsi="Arial"/>
          <w:color w:val="000000"/>
          <w:sz w:val="20"/>
          <w:szCs w:val="20"/>
        </w:rPr>
        <w:t xml:space="preserve">Lindsay M. Tedds. 2015. What Does It Mean? The Economic Questions Raised by Trudeau's Win. The Globe and Mail, October 20.</w:t>
      </w:r>
    </w:p>
    <w:p>
      <w:pPr>
        <w:spacing w:after="100"/>
        <w:ind w:left="720" w:hanging="360"/>
      </w:pPr>
      <w:r>
        <w:rPr>
          <w:rFonts w:ascii="Arial" w:cs="Arial" w:eastAsia="Arial" w:hAnsi="Arial"/>
          <w:color w:val="000000"/>
          <w:sz w:val="20"/>
          <w:szCs w:val="20"/>
        </w:rPr>
        <w:t xml:space="preserve">Lindsay M. Tedds. 2015. The Good News—But Missed Opportunity—in Harper's RESP Pledge. Macleans, September 9.</w:t>
      </w:r>
    </w:p>
    <w:p>
      <w:pPr>
        <w:spacing w:after="100"/>
        <w:ind w:left="720" w:hanging="360"/>
      </w:pPr>
      <w:r>
        <w:rPr>
          <w:rFonts w:ascii="Arial" w:cs="Arial" w:eastAsia="Arial" w:hAnsi="Arial"/>
          <w:color w:val="000000"/>
          <w:sz w:val="20"/>
          <w:szCs w:val="20"/>
        </w:rPr>
        <w:t xml:space="preserve">Lindsay M. Tedds. 2015. Why the Mineral Exploration Tax Credit is Such a Bad Idea. Macleans, September 2.</w:t>
      </w:r>
    </w:p>
    <w:p>
      <w:pPr>
        <w:spacing w:after="100"/>
        <w:ind w:left="720" w:hanging="360"/>
      </w:pPr>
      <w:r>
        <w:rPr>
          <w:rFonts w:ascii="Arial" w:cs="Arial" w:eastAsia="Arial" w:hAnsi="Arial"/>
          <w:color w:val="000000"/>
          <w:sz w:val="20"/>
          <w:szCs w:val="20"/>
        </w:rPr>
        <w:t xml:space="preserve">Lindsay M. Tedds. 2015. The Real Problem with all that Tax Debt Canadians Owe. Macleans, July 14.</w:t>
      </w:r>
    </w:p>
    <w:p>
      <w:pPr>
        <w:spacing w:after="100"/>
        <w:ind w:left="720" w:hanging="360"/>
      </w:pPr>
      <w:r>
        <w:rPr>
          <w:rFonts w:ascii="Arial" w:cs="Arial" w:eastAsia="Arial" w:hAnsi="Arial"/>
          <w:color w:val="000000"/>
          <w:sz w:val="20"/>
          <w:szCs w:val="20"/>
        </w:rPr>
        <w:t xml:space="preserve">Lindsay M. Tedds. 2015. Why Shaming Alberta's Securities Deadbeats may not Work. Macleans, July 9.</w:t>
      </w:r>
    </w:p>
    <w:p>
      <w:pPr>
        <w:spacing w:after="100"/>
        <w:ind w:left="720" w:hanging="360"/>
      </w:pPr>
      <w:r>
        <w:rPr>
          <w:rFonts w:ascii="Arial" w:cs="Arial" w:eastAsia="Arial" w:hAnsi="Arial"/>
          <w:color w:val="000000"/>
          <w:sz w:val="20"/>
          <w:szCs w:val="20"/>
        </w:rPr>
        <w:t xml:space="preserve">Lindsay M. Tedds. 2015. Threats on Social Media are not Victimless Crimes. The Ottawa Citizen, January 19.</w:t>
      </w:r>
    </w:p>
    <w:p>
      <w:pPr>
        <w:spacing w:after="100"/>
        <w:ind w:left="720" w:hanging="360"/>
      </w:pPr>
      <w:r>
        <w:rPr>
          <w:rFonts w:ascii="Arial" w:cs="Arial" w:eastAsia="Arial" w:hAnsi="Arial"/>
          <w:color w:val="000000"/>
          <w:sz w:val="20"/>
          <w:szCs w:val="20"/>
        </w:rPr>
        <w:t xml:space="preserve">Lindsay M. Tedds. 2014. What You're a University Dean, 'Toe the Party Line' Isn't Your Job. The Globe and Mail, May 15.</w:t>
      </w:r>
    </w:p>
    <w:p>
      <w:pPr>
        <w:spacing w:after="100"/>
        <w:ind w:left="720" w:hanging="360"/>
      </w:pPr>
      <w:r>
        <w:rPr>
          <w:rFonts w:ascii="Arial" w:cs="Arial" w:eastAsia="Arial" w:hAnsi="Arial"/>
          <w:color w:val="000000"/>
          <w:sz w:val="20"/>
          <w:szCs w:val="20"/>
        </w:rPr>
        <w:t xml:space="preserve">Lindsay M. Tedds. 2013. It's Time to Restore Fairness in Canada's Tax System. The Globe and Mail, November 8.</w:t>
      </w:r>
    </w:p>
    <w:p>
      <w:pPr>
        <w:spacing w:after="100"/>
        <w:ind w:left="720" w:hanging="360"/>
      </w:pPr>
      <w:r>
        <w:rPr>
          <w:rFonts w:ascii="Arial" w:cs="Arial" w:eastAsia="Arial" w:hAnsi="Arial"/>
          <w:color w:val="000000"/>
          <w:sz w:val="20"/>
          <w:szCs w:val="20"/>
        </w:rPr>
        <w:t xml:space="preserve">Lindsay M. Tedds. 2013. Halifax Needs a Congestion Charge. The Globe and Mail, March 14.</w:t>
      </w:r>
    </w:p>
    <w:p>
      <w:pPr>
        <w:spacing w:after="100"/>
        <w:ind w:left="720" w:hanging="360"/>
      </w:pPr>
      <w:r>
        <w:rPr>
          <w:rFonts w:ascii="Arial" w:cs="Arial" w:eastAsia="Arial" w:hAnsi="Arial"/>
          <w:color w:val="000000"/>
          <w:sz w:val="20"/>
          <w:szCs w:val="20"/>
        </w:rPr>
        <w:t xml:space="preserve">Lindsay M. Tedds. 2013. Politicians Should be Counting Opportunity Costs of the 'Daycare Dilemma.' The Globe and Mail, February 21.</w:t>
      </w:r>
    </w:p>
    <w:p>
      <w:pPr>
        <w:spacing w:after="100"/>
        <w:ind w:left="720" w:hanging="360"/>
      </w:pPr>
      <w:r>
        <w:rPr>
          <w:rFonts w:ascii="Arial" w:cs="Arial" w:eastAsia="Arial" w:hAnsi="Arial"/>
          <w:color w:val="000000"/>
          <w:sz w:val="20"/>
          <w:szCs w:val="20"/>
        </w:rPr>
        <w:t xml:space="preserve">Lindsay M. Tedds. 2013. What Problem is Harper's Venture Capital Plan Trying to Solve? The Huffington Post, January 17.</w:t>
      </w:r>
    </w:p>
    <w:p>
      <w:pPr>
        <w:spacing w:after="100"/>
        <w:ind w:left="720" w:hanging="360"/>
      </w:pPr>
      <w:r>
        <w:rPr>
          <w:rFonts w:ascii="Arial" w:cs="Arial" w:eastAsia="Arial" w:hAnsi="Arial"/>
          <w:color w:val="000000"/>
          <w:sz w:val="20"/>
          <w:szCs w:val="20"/>
        </w:rPr>
        <w:t xml:space="preserve">Lindsay M. Tedds. 2012. Faster, Higher, Richer: Should Olympic Medal Winners Be Taxed? The Globe and Mail, August 13.</w:t>
      </w:r>
    </w:p>
    <w:p>
      <w:pPr>
        <w:spacing w:after="100"/>
        <w:ind w:left="720" w:hanging="360"/>
      </w:pPr>
      <w:r>
        <w:rPr>
          <w:rFonts w:ascii="Arial" w:cs="Arial" w:eastAsia="Arial" w:hAnsi="Arial"/>
          <w:color w:val="000000"/>
          <w:sz w:val="20"/>
          <w:szCs w:val="20"/>
        </w:rPr>
        <w:t xml:space="preserve">Lindsay M. Tedds. 2012. Tipping Point: Ottawa Loses Billions In Undeclared Income. The Globe and Mail, July 2012.</w:t>
      </w:r>
    </w:p>
    <w:p>
      <w:pPr>
        <w:spacing w:after="100"/>
        <w:ind w:left="720" w:hanging="360"/>
      </w:pPr>
      <w:r>
        <w:rPr>
          <w:rFonts w:ascii="Arial" w:cs="Arial" w:eastAsia="Arial" w:hAnsi="Arial"/>
          <w:color w:val="000000"/>
          <w:sz w:val="20"/>
          <w:szCs w:val="20"/>
        </w:rPr>
        <w:t xml:space="preserve">Lindsay M. Tedds. 2012. How Taxes Can Ruin Employee Incentive Programs. The Globe and Mail, June 20.</w:t>
      </w:r>
    </w:p>
    <w:p>
      <w:pPr>
        <w:spacing w:after="100"/>
        <w:ind w:left="720" w:hanging="360"/>
      </w:pPr>
      <w:r>
        <w:rPr>
          <w:rFonts w:ascii="Arial" w:cs="Arial" w:eastAsia="Arial" w:hAnsi="Arial"/>
          <w:color w:val="000000"/>
          <w:sz w:val="20"/>
          <w:szCs w:val="20"/>
        </w:rPr>
        <w:t xml:space="preserve">Lindsay M. Tedds. 2012. How to Raise the Bar on Debates About Taxation. The Globe and Mail, May 22.</w:t>
      </w:r>
    </w:p>
    <w:p>
      <w:pPr>
        <w:spacing w:after="100"/>
        <w:ind w:left="720" w:hanging="360"/>
      </w:pPr>
      <w:r>
        <w:rPr>
          <w:rFonts w:ascii="Arial" w:cs="Arial" w:eastAsia="Arial" w:hAnsi="Arial"/>
          <w:color w:val="000000"/>
          <w:sz w:val="20"/>
          <w:szCs w:val="20"/>
        </w:rPr>
        <w:t xml:space="preserve">Lindsay M. Tedds. 2012. Why Modern-day Tax Revolts are Doomed To Fail. The Globe and Mail, May 8.</w:t>
      </w:r>
    </w:p>
    <w:p>
      <w:pPr>
        <w:spacing w:after="100"/>
        <w:ind w:left="720" w:hanging="360"/>
      </w:pPr>
      <w:r>
        <w:rPr>
          <w:rFonts w:ascii="Arial" w:cs="Arial" w:eastAsia="Arial" w:hAnsi="Arial"/>
          <w:color w:val="000000"/>
          <w:sz w:val="20"/>
          <w:szCs w:val="20"/>
        </w:rPr>
        <w:t xml:space="preserve">Lindsay M. Tedds. 2012. Reduce Your Tax Liability By Claiming Medical Expenses. The Globe and Mail, April 25.</w:t>
      </w:r>
    </w:p>
    <w:p>
      <w:pPr>
        <w:spacing w:after="100"/>
        <w:ind w:left="720" w:hanging="360"/>
      </w:pPr>
      <w:r>
        <w:rPr>
          <w:rFonts w:ascii="Arial" w:cs="Arial" w:eastAsia="Arial" w:hAnsi="Arial"/>
          <w:color w:val="000000"/>
          <w:sz w:val="20"/>
          <w:szCs w:val="20"/>
        </w:rPr>
        <w:t xml:space="preserve">Lindsay M. Tedds. 2012. How the CRA Reveals Its Kinder, Gentler Side. The Globe and Mail, April 13.</w:t>
      </w:r>
    </w:p>
    <w:p>
      <w:pPr>
        <w:spacing w:after="100"/>
        <w:ind w:left="720" w:hanging="360"/>
      </w:pPr>
      <w:r>
        <w:rPr>
          <w:rFonts w:ascii="Arial" w:cs="Arial" w:eastAsia="Arial" w:hAnsi="Arial"/>
          <w:color w:val="000000"/>
          <w:sz w:val="20"/>
          <w:szCs w:val="20"/>
        </w:rPr>
        <w:t xml:space="preserve">Lindsay M. Tedds. 2012. Why You Don't Want Ottawa to Fill in Your Tax Form. The Globe and Mail, April 3.</w:t>
      </w:r>
    </w:p>
    <w:p>
      <w:pPr>
        <w:spacing w:after="100"/>
        <w:ind w:left="720" w:hanging="360"/>
      </w:pPr>
      <w:r>
        <w:rPr>
          <w:rFonts w:ascii="Arial" w:cs="Arial" w:eastAsia="Arial" w:hAnsi="Arial"/>
          <w:color w:val="000000"/>
          <w:sz w:val="20"/>
          <w:szCs w:val="20"/>
        </w:rPr>
        <w:t xml:space="preserve">Lindsay M. Tedds. 2012. A Simple Way to Tax the Rich. The Globe and Mail, March 9.</w:t>
      </w:r>
    </w:p>
    <w:p>
      <w:pPr>
        <w:spacing w:after="100"/>
        <w:ind w:left="720" w:hanging="360"/>
      </w:pPr>
      <w:r>
        <w:rPr>
          <w:rFonts w:ascii="Arial" w:cs="Arial" w:eastAsia="Arial" w:hAnsi="Arial"/>
          <w:color w:val="000000"/>
          <w:sz w:val="20"/>
          <w:szCs w:val="20"/>
        </w:rPr>
        <w:t xml:space="preserve">Lindsay M. Tedds. 2012. Why Tax Withholding is More than a Free Loan to Ottawa. The Globe and Mail, February 27.</w:t>
      </w:r>
    </w:p>
    <w:p>
      <w:pPr>
        <w:spacing w:after="100"/>
        <w:ind w:left="720" w:hanging="360"/>
      </w:pPr>
      <w:r>
        <w:rPr>
          <w:rFonts w:ascii="Arial" w:cs="Arial" w:eastAsia="Arial" w:hAnsi="Arial"/>
          <w:color w:val="000000"/>
          <w:sz w:val="20"/>
          <w:szCs w:val="20"/>
        </w:rPr>
        <w:t xml:space="preserve">Lindsay M. Tedds. 2012. Tax Cheats a Problem, but so are Those Who Overpay. The Globe and Mail, February 13.</w:t>
      </w:r>
    </w:p>
    <w:p>
      <w:pPr>
        <w:pBdr>
          <w:bottom w:val="single" w:color="AAAAAA" w:sz="6" w:space="4"/>
        </w:pBdr>
        <w:spacing w:after="120" w:before="240"/>
      </w:pPr>
      <w:r>
        <w:rPr>
          <w:rFonts w:ascii="Arial" w:cs="Arial" w:eastAsia="Arial" w:hAnsi="Arial"/>
          <w:b/>
          <w:bCs/>
          <w:color w:val="1F3864"/>
          <w:sz w:val="26"/>
          <w:szCs w:val="26"/>
        </w:rPr>
        <w:t xml:space="preserve">WORKING PAPERS</w:t>
      </w:r>
    </w:p>
    <w:p>
      <w:pPr>
        <w:spacing w:after="100"/>
        <w:ind w:left="720" w:hanging="360"/>
      </w:pPr>
      <w:r>
        <w:rPr>
          <w:rFonts w:ascii="Arial" w:cs="Arial" w:eastAsia="Arial" w:hAnsi="Arial"/>
          <w:color w:val="000000"/>
          <w:sz w:val="20"/>
          <w:szCs w:val="20"/>
        </w:rPr>
        <w:t xml:space="preserve">Gillian Petit and Lindsay M. Tedds. 2025. Vertical (In)Equities in Calgary's Property Assessments: Decomposing Inequities Between Vulnerable and Non-Vulnerable Communities.</w:t>
      </w:r>
    </w:p>
    <w:p>
      <w:pPr>
        <w:spacing w:after="100"/>
        <w:ind w:left="720" w:hanging="360"/>
      </w:pPr>
      <w:r>
        <w:rPr>
          <w:rFonts w:ascii="Arial" w:cs="Arial" w:eastAsia="Arial" w:hAnsi="Arial"/>
          <w:color w:val="000000"/>
          <w:sz w:val="20"/>
          <w:szCs w:val="20"/>
        </w:rPr>
        <w:t xml:space="preserve">Gillian Petit and Lindsay M. Tedds. 2025. Systematic Barriers to Justice: Financial Eligibility for Legal Aid—A Gendered Analysis. Canadian Journal of Women and the Law. [Revise and Resubmit]</w:t>
      </w:r>
    </w:p>
    <w:p>
      <w:pPr>
        <w:spacing w:after="100"/>
        <w:ind w:left="720" w:hanging="360"/>
      </w:pPr>
      <w:r>
        <w:rPr>
          <w:rFonts w:ascii="Arial" w:cs="Arial" w:eastAsia="Arial" w:hAnsi="Arial"/>
          <w:color w:val="000000"/>
          <w:sz w:val="20"/>
          <w:szCs w:val="20"/>
        </w:rPr>
        <w:t xml:space="preserve">Gillian Petit and Lindsay M. Tedds. 2026. Property Tax Regressivity in Alberta.</w:t>
      </w:r>
    </w:p>
    <w:p>
      <w:pPr>
        <w:spacing w:after="100"/>
        <w:ind w:left="720" w:hanging="360"/>
      </w:pPr>
      <w:r>
        <w:rPr>
          <w:rFonts w:ascii="Arial" w:cs="Arial" w:eastAsia="Arial" w:hAnsi="Arial"/>
          <w:color w:val="000000"/>
          <w:sz w:val="20"/>
          <w:szCs w:val="20"/>
        </w:rPr>
        <w:t xml:space="preserve">Lindsay M. Tedds,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and Gillian Petit. 2026. Dismantling the Women's State: The Rise, Fall and Rise and Fall of GBA+. [In Progress]</w:t>
      </w:r>
    </w:p>
    <w:p>
      <w:pPr>
        <w:spacing w:after="100"/>
        <w:ind w:left="720" w:hanging="360"/>
      </w:pPr>
      <w:r>
        <w:rPr>
          <w:rFonts w:ascii="Arial" w:cs="Arial" w:eastAsia="Arial" w:hAnsi="Arial"/>
          <w:color w:val="000000"/>
          <w:sz w:val="20"/>
          <w:szCs w:val="20"/>
        </w:rPr>
        <w:t xml:space="preserve">Lindsay M. Tedds and Gillian Petit. 2026. Regulating Short-Term Rentals: A Design and Implementation Guide for Canadian Cities. Submitted to AU Press. [In Progress]</w:t>
      </w:r>
    </w:p>
    <w:p>
      <w:pPr>
        <w:pBdr>
          <w:bottom w:val="single" w:color="AAAAAA" w:sz="6" w:space="4"/>
        </w:pBdr>
        <w:spacing w:after="120" w:before="240"/>
      </w:pPr>
      <w:r>
        <w:rPr>
          <w:rFonts w:ascii="Arial" w:cs="Arial" w:eastAsia="Arial" w:hAnsi="Arial"/>
          <w:b/>
          <w:bCs/>
          <w:color w:val="1F3864"/>
          <w:sz w:val="26"/>
          <w:szCs w:val="26"/>
        </w:rPr>
        <w:t xml:space="preserve">INVITED PRESENTATIONS, SEMINARS, WORKSHOPS, AND PANELS</w:t>
      </w:r>
    </w:p>
    <w:p>
      <w:pPr>
        <w:spacing w:after="80" w:before="160"/>
      </w:pPr>
      <w:r>
        <w:rPr>
          <w:rFonts w:ascii="Arial" w:cs="Arial" w:eastAsia="Arial" w:hAnsi="Arial"/>
          <w:b/>
          <w:bCs/>
          <w:color w:val="404040"/>
          <w:sz w:val="22"/>
          <w:szCs w:val="22"/>
        </w:rPr>
        <w:t xml:space="preserve">Post-COVID Webinars and Virtual</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Canadian Bar Association Access to Justice Week.</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Alberta Federation of Labour, Alberta Pension Round Table, Health Canada, Women and Gender Equality Canada, City of Edmonton, Institute of Public Administration of Canada, Government of Canada Cabinet Retreat.</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One Society Network, Government of Nunavut, Basic Income Advisory Council, Canadian Women's Foundation, Government of Canada GBA+ Awareness Week, Industry, Science, and Economic Development (ISED), Global Affairs Canada, Health Canada, Canadian Political Science Association Meetings.</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Economics Society of Northern Alberta, Institute for Research on Public Policy, Canadian Economics Association, Lakehead University, Managing Canadian Federalism Beyond Pandemic, Concordia's School of Community and Public Affairs, UBC Allard School of Law, UBC Vancouver School of Economics, The Next 30, Canadian Association of Business Economists, Government of British Columbia, Royal Society of Canada, Canadian Council of Legislative Auditors Conference, University of Lethbridge, Canadian Political Science Association Meetings.</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Economics Society of Northern Alberta (×2), Calgary Chamber of Voluntary Organizations, Probus Central Edmonton, Royal Society of Canada and U of T, The Senate of Canada (×2), Canadian Political Science Association Meetings.</w:t>
      </w:r>
    </w:p>
    <w:p>
      <w:pPr>
        <w:spacing w:after="80" w:before="160"/>
      </w:pPr>
      <w:r>
        <w:rPr>
          <w:rFonts w:ascii="Arial" w:cs="Arial" w:eastAsia="Arial" w:hAnsi="Arial"/>
          <w:b/>
          <w:bCs/>
          <w:color w:val="404040"/>
          <w:sz w:val="22"/>
          <w:szCs w:val="22"/>
        </w:rPr>
        <w:t xml:space="preserve">In-Person (Pre/Post-COVID)</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Thelma Margaret Horte Memorial Fellowship Lecture, Faculty of Arts, University of Calgary, October 6, 2026: Gender Disparities in the Labour Market? Examining the COVID-19 Pandemic in Alberta.</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Tourism Industry Association Advocacy Summit.</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(Keynote: Canadian Public Policy Lecture).</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Annual Meeting.</w:t>
      </w:r>
    </w:p>
    <w:p>
      <w:pPr>
        <w:tabs>
          <w:tab w:val="left" w:pos="1800"/>
        </w:tabs>
        <w:spacing w:after="100"/>
        <w:ind w:left="180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Measuring the Contribution of Energy Infrastructure, Current Affairs Luncheon Ottawa, Economics Association, Canadian Association of Business Economics, McGill Institute for the Study of Canada, Funding the Canadian City, McGill University Faculty of Law, Thompson Rivers University School of Business and Economics, School of Public Policy Alumni Association.</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University of Calgary School of Public Policy, York University Osgoode Hall Law School, University of Victoria Department of Economics Alumni Association.</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Canadian Tax Foundation Annual Conference, Financing Infrastructure: Who Should Pay, Northern Policy Institute, Canadian Income Tax Act Centennial Symposium, Financial Market Regulatory Program Round Table, University of Calgary Haskayne School of Business, University of Victoria Faculty of Law, University of Calgary School of Public Policy.</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University of Alberta School of Business, Canada Revenue Association, Federal/Provincial/Territorial Underground Economic Roundtable, Canadian Economics Association Annual Meeting.</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Tax Policy: Perspectives in Law and Accounting, University of Victoria Department of Economics.</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Canadian Law and Economics Association Annual Meeting, Canadian Economics Association Annual Meeting.</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Canadian Council for Small Business and Entrepreneurship Annual Conference, Federal/Provincial/Territorial Underground Economic Roundtable.</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Tax Expenditures and Public Policy in Comparative Perspective, Tax Policy: Perspectives from Law and Accounting, The Shadow Economy Workshop, Canadian Economics Association Annual Meeting, The 2009 Federal Budget Conference, International Association for Time Use Researchers Annual Conference.</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International Association of Time Use Researchers Annual Conference, Canadian Economics Association Annual Meeting, University of Victoria School of Business, Federal/Provincial/Territorial Underground Economic Roundtable.</w:t>
      </w:r>
    </w:p>
    <w:p>
      <w:pPr>
        <w:tabs>
          <w:tab w:val="left" w:pos="1800"/>
        </w:tabs>
        <w:spacing w:after="100"/>
        <w:ind w:left="1800" w:hanging="1440"/>
      </w:pPr>
      <w:r>
        <w:rPr>
          <w:rFonts w:ascii="Arial" w:cs="Arial" w:eastAsia="Arial" w:hAnsi="Arial"/>
          <w:b/>
          <w:bCs/>
          <w:sz w:val="20"/>
          <w:szCs w:val="20"/>
        </w:rPr>
        <w:t xml:space="preserve">2007</w:t>
      </w:r>
      <w:r>
        <w:rPr>
          <w:rFonts w:ascii="Arial" w:cs="Arial" w:eastAsia="Arial" w:hAnsi="Arial"/>
          <w:sz w:val="20"/>
          <w:szCs w:val="20"/>
        </w:rPr>
        <w:t xml:space="preserve">	</w:t>
      </w:r>
      <w:r>
        <w:rPr>
          <w:rFonts w:ascii="Arial" w:cs="Arial" w:eastAsia="Arial" w:hAnsi="Arial"/>
          <w:color w:val="000000"/>
          <w:sz w:val="20"/>
          <w:szCs w:val="20"/>
        </w:rPr>
        <w:t xml:space="preserve">International Association for Time Use Researchers Annual Conference, IZA Topic Week in Nonmarket Time in Economics, Canadian Economics Association Annual Meeting, DLI/ACCOLEDS Annual Meeting, University of Waterloo School of Accountancy, University of Victoria School of Public Administration, Torys Law Firm &amp; Navigant Consulting.</w:t>
      </w:r>
    </w:p>
    <w:p>
      <w:pPr>
        <w:tabs>
          <w:tab w:val="left" w:pos="1800"/>
        </w:tabs>
        <w:spacing w:after="100"/>
        <w:ind w:left="1800" w:hanging="1440"/>
      </w:pPr>
      <w:r>
        <w:rPr>
          <w:rFonts w:ascii="Arial" w:cs="Arial" w:eastAsia="Arial" w:hAnsi="Arial"/>
          <w:b/>
          <w:bCs/>
          <w:sz w:val="20"/>
          <w:szCs w:val="20"/>
        </w:rPr>
        <w:t xml:space="preserve">2006</w:t>
      </w:r>
      <w:r>
        <w:rPr>
          <w:rFonts w:ascii="Arial" w:cs="Arial" w:eastAsia="Arial" w:hAnsi="Arial"/>
          <w:sz w:val="20"/>
          <w:szCs w:val="20"/>
        </w:rPr>
        <w:t xml:space="preserve">	</w:t>
      </w:r>
      <w:r>
        <w:rPr>
          <w:rFonts w:ascii="Arial" w:cs="Arial" w:eastAsia="Arial" w:hAnsi="Arial"/>
          <w:color w:val="000000"/>
          <w:sz w:val="20"/>
          <w:szCs w:val="20"/>
        </w:rPr>
        <w:t xml:space="preserve">Canadian Economics Association Annual Meeting, University of Victoria Department of Economics, University of Waterloo Department of Economics.</w:t>
      </w:r>
    </w:p>
    <w:p>
      <w:pPr>
        <w:tabs>
          <w:tab w:val="left" w:pos="1800"/>
        </w:tabs>
        <w:spacing w:after="100"/>
        <w:ind w:left="1800" w:hanging="1440"/>
      </w:pPr>
      <w:r>
        <w:rPr>
          <w:rFonts w:ascii="Arial" w:cs="Arial" w:eastAsia="Arial" w:hAnsi="Arial"/>
          <w:b/>
          <w:bCs/>
          <w:sz w:val="20"/>
          <w:szCs w:val="20"/>
        </w:rPr>
        <w:t xml:space="preserve">2005</w:t>
      </w:r>
      <w:r>
        <w:rPr>
          <w:rFonts w:ascii="Arial" w:cs="Arial" w:eastAsia="Arial" w:hAnsi="Arial"/>
          <w:sz w:val="20"/>
          <w:szCs w:val="20"/>
        </w:rPr>
        <w:t xml:space="preserve">	</w:t>
      </w:r>
      <w:r>
        <w:rPr>
          <w:rFonts w:ascii="Arial" w:cs="Arial" w:eastAsia="Arial" w:hAnsi="Arial"/>
          <w:color w:val="000000"/>
          <w:sz w:val="20"/>
          <w:szCs w:val="20"/>
        </w:rPr>
        <w:t xml:space="preserve">Tax Policy: Perspectives from Law and Accounting, Canadian Economics Association Annual Meeting, University of Manitoba, Allegheny College, York University, University of Waterloo.</w:t>
      </w:r>
    </w:p>
    <w:p>
      <w:pPr>
        <w:tabs>
          <w:tab w:val="left" w:pos="1800"/>
        </w:tabs>
        <w:spacing w:after="100"/>
        <w:ind w:left="1800" w:hanging="1440"/>
      </w:pPr>
      <w:r>
        <w:rPr>
          <w:rFonts w:ascii="Arial" w:cs="Arial" w:eastAsia="Arial" w:hAnsi="Arial"/>
          <w:b/>
          <w:bCs/>
          <w:sz w:val="20"/>
          <w:szCs w:val="20"/>
        </w:rPr>
        <w:t xml:space="preserve">2000</w:t>
      </w:r>
      <w:r>
        <w:rPr>
          <w:rFonts w:ascii="Arial" w:cs="Arial" w:eastAsia="Arial" w:hAnsi="Arial"/>
          <w:sz w:val="20"/>
          <w:szCs w:val="20"/>
        </w:rPr>
        <w:t xml:space="preserve">	</w:t>
      </w:r>
      <w:r>
        <w:rPr>
          <w:rFonts w:ascii="Arial" w:cs="Arial" w:eastAsia="Arial" w:hAnsi="Arial"/>
          <w:color w:val="000000"/>
          <w:sz w:val="20"/>
          <w:szCs w:val="20"/>
        </w:rPr>
        <w:t xml:space="preserve">Statistics Canada Economic Conference, Industry Canada Distinguished Speaker Series.</w:t>
      </w:r>
    </w:p>
    <w:p>
      <w:pPr>
        <w:tabs>
          <w:tab w:val="left" w:pos="1800"/>
        </w:tabs>
        <w:spacing w:after="100"/>
        <w:ind w:left="1800" w:hanging="1440"/>
      </w:pP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color w:val="000000"/>
          <w:sz w:val="20"/>
          <w:szCs w:val="20"/>
        </w:rPr>
        <w:t xml:space="preserve">Statistics Canada Economic Conference on Probing the New Economic Realities.</w:t>
      </w:r>
    </w:p>
    <w:p>
      <w:pPr>
        <w:pBdr>
          <w:bottom w:val="single" w:color="AAAAAA" w:sz="6" w:space="4"/>
        </w:pBdr>
        <w:spacing w:after="120" w:before="240"/>
      </w:pPr>
      <w:r>
        <w:rPr>
          <w:rFonts w:ascii="Arial" w:cs="Arial" w:eastAsia="Arial" w:hAnsi="Arial"/>
          <w:b/>
          <w:bCs/>
          <w:color w:val="1F3864"/>
          <w:sz w:val="26"/>
          <w:szCs w:val="26"/>
        </w:rPr>
        <w:t xml:space="preserve">GRANTS, RESEARCH CONTRACTS, AND RESEARCH FUNDING</w:t>
      </w:r>
    </w:p>
    <w:p>
      <w:pPr>
        <w:spacing w:after="80" w:before="160"/>
      </w:pPr>
      <w:r>
        <w:rPr>
          <w:rFonts w:ascii="Arial" w:cs="Arial" w:eastAsia="Arial" w:hAnsi="Arial"/>
          <w:b/>
          <w:bCs/>
          <w:color w:val="404040"/>
          <w:sz w:val="22"/>
          <w:szCs w:val="22"/>
        </w:rPr>
        <w:t xml:space="preserve">External</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SSHRC Insight Grant ($285,518), Co-applicant for Don't Miss Out on Poverty Reduction in Canada: How Material Deprivation Indicators Improve Social Policy Design and Evaluation (Principal Investigator: Gertruda Notten, University of Ottawa). (Awarded: March 2026)</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SSHRC Partnership Development Grant ($199,923), Principal Investigator for Fair and Accountable Canadian Taxation (FACT): The Fair Tax Initiative (Co-directors: Jennifer Robson, Carleton University; Antoine Genest-Grégoire, Université de Sherbrooke). (Awarded: June 2026)</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Mitacs Accelerate Grant ($60,000), Principal Investigator for Beyond Costs: A Comparative Welfare Analysis of Canadian Government Programs Using the Marginal Value of Public Funds (Partner: Maytree Foundation). (Awarded: March 2026)</w:t>
      </w:r>
    </w:p>
    <w:p>
      <w:pPr>
        <w:tabs>
          <w:tab w:val="left" w:pos="1800"/>
        </w:tabs>
        <w:spacing w:after="100"/>
        <w:ind w:left="1800" w:hanging="1440"/>
      </w:pPr>
      <w:r>
        <w:rPr>
          <w:rFonts w:ascii="Arial" w:cs="Arial" w:eastAsia="Arial" w:hAnsi="Arial"/>
          <w:b/>
          <w:bCs/>
          <w:sz w:val="20"/>
          <w:szCs w:val="20"/>
        </w:rPr>
        <w:t xml:space="preserve">2025</w:t>
      </w:r>
      <w:r>
        <w:rPr>
          <w:rFonts w:ascii="Arial" w:cs="Arial" w:eastAsia="Arial" w:hAnsi="Arial"/>
          <w:sz w:val="20"/>
          <w:szCs w:val="20"/>
        </w:rPr>
        <w:t xml:space="preserve">	</w:t>
      </w:r>
      <w:r>
        <w:rPr>
          <w:rFonts w:ascii="Arial" w:cs="Arial" w:eastAsia="Arial" w:hAnsi="Arial"/>
          <w:color w:val="000000"/>
          <w:sz w:val="20"/>
          <w:szCs w:val="20"/>
        </w:rPr>
        <w:t xml:space="preserve">SSHRC Partnership Engage Grant ($24,995). Principal Investigator: Mapping the System of Social Supports in Alberta. (Awarded: December 2025)</w:t>
      </w:r>
    </w:p>
    <w:p>
      <w:pPr>
        <w:tabs>
          <w:tab w:val="left" w:pos="1800"/>
        </w:tabs>
        <w:spacing w:after="100"/>
        <w:ind w:left="1800" w:hanging="1440"/>
      </w:pPr>
      <w:r>
        <w:rPr>
          <w:rFonts w:ascii="Arial" w:cs="Arial" w:eastAsia="Arial" w:hAnsi="Arial"/>
          <w:b/>
          <w:bCs/>
          <w:sz w:val="20"/>
          <w:szCs w:val="20"/>
        </w:rPr>
        <w:t xml:space="preserve">2025</w:t>
      </w:r>
      <w:r>
        <w:rPr>
          <w:rFonts w:ascii="Arial" w:cs="Arial" w:eastAsia="Arial" w:hAnsi="Arial"/>
          <w:sz w:val="20"/>
          <w:szCs w:val="20"/>
        </w:rPr>
        <w:t xml:space="preserve">	</w:t>
      </w:r>
      <w:r>
        <w:rPr>
          <w:rFonts w:ascii="Arial" w:cs="Arial" w:eastAsia="Arial" w:hAnsi="Arial"/>
          <w:color w:val="000000"/>
          <w:sz w:val="20"/>
          <w:szCs w:val="20"/>
        </w:rPr>
        <w:t xml:space="preserve">Alberta Real Estate Foundation Investment Grant ($91,500). Principal Investigator: Property Tax Regressivity in Alberta: Policy Solutions to Improve Housing Affordability. (Awarded: June 2025)</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SSHRC Insight Development Grant ($74,882). Principal Investigator: Property Tax Equity Assessment (ProperTEA). (Awarded: June 2024)</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City of Calgary Equity in Service Delivery Fund ($70,000). Principal Investigator: ProperTEA. (Awarded: March 2023)</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City of Calgary Council Innovation Fund ($324,070). Principal Investigator: Scoping Calgary's Short Term Rental Economy. (Awarded: December 2022)</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SSHRC Knowledge Synthesis Grant ($30,000). Principal Investigator: Basic Income as a Response to Gender-based Violence. (Awarded: December 2022)</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Canadian Housing Evidence Collaborative ($75,000). Principal Investigator: Development of an Equity Data and Information Collection Framework for the National Housing Strategy. (Awarded: October 2022)</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Bertelsmann Stiftung (€4,000). Principal Investigator: SGI Special Survey—Canada Country Report. (Awarded: October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Ethos Law Group LLP, counsel for the plaintiffs ($15,000). Principal Investigator: Assessing the Eligibility for Legal Aid Services in British Columbia. (Awarded: October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Women's Shelters Canada ($20,825). Principal Investigator: Basic Income as a Response to Gender-based Violence. (Awarded: March 2021)</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Department of Community and Government Services, Government of Nunavut ($892,073). Co-Investigator: Feasibility Study—Guaranteed Basic Income for Nunavut. (Awarded: March 2021)</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SSHRC Knowledge Synthesis Grant ($30,000). Principal Investigator: Canada Revenue Agency and Tax Administration: Re-envisioning Tax and Benefit Administration in the Age of Digitization. (Awarded: December 2020)</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SSHRC Partnership Engage Grant ($25,000). Principal Investigator: COVID-19 and the Financial Crisis in the City of Calgary. (Awarded: June 2020)</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Ministry of Social Development and Poverty Reduction, Government of British Columbia ($1.1M). Principal Investigator: Basic Income for the Province of British Columbia. (Awarded: March 2019)</w:t>
      </w:r>
    </w:p>
    <w:p>
      <w:pPr>
        <w:tabs>
          <w:tab w:val="left" w:pos="1800"/>
        </w:tabs>
        <w:spacing w:after="100"/>
        <w:ind w:left="180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Alberta Real Estate Foundation ($60,000). Principal Investigator: Airbnb and the Short-Term Rental Economy. (Awarded: April 2019)</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SSHRC Connections Grant ($25,000). Principal Investigator: Funding the Canadian City. (Awarded: September 2017)</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Institute on Municipal Finance &amp; Governance ($5,000). Principal Investigator: Municipal User Fees in Western Ontario. (Awarded: February 2016)</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Northern Policy Institute ($12,500). Principal Investigator: How the Canadian Income Tax System Facilitates and Impedes the Implementation of a Basic Income Guarantee. (Awarded: June 2016)</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Kijiji Canada ($20,000). Principal Investigator: The Secondhand Economy in Canada. (Awarded: December 2015)</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Financial Markets Regulation Program ($10,000), The School of Public Policy. Principal Investigator: Accuracy of Insider Reports in Canada, 1996–2011. (Awarded: July 2015)</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Canadian Tax Foundation ($40,000). Principal Investigator: User Fee Design and Implementation in Canada (Co-Investigator: Catherine Althaus). (Awarded: October 2014)</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SSHRC Standard Research Grant ($87,456). Co-Investigator: Options Backdating in Canada (PI: Daniel Sandler). (Awarded: April 2009)</w:t>
      </w:r>
    </w:p>
    <w:p>
      <w:pPr>
        <w:tabs>
          <w:tab w:val="left" w:pos="1800"/>
        </w:tabs>
        <w:spacing w:after="100"/>
        <w:ind w:left="1800" w:hanging="1440"/>
      </w:pPr>
      <w:r>
        <w:rPr>
          <w:rFonts w:ascii="Arial" w:cs="Arial" w:eastAsia="Arial" w:hAnsi="Arial"/>
          <w:b/>
          <w:bCs/>
          <w:sz w:val="20"/>
          <w:szCs w:val="20"/>
        </w:rPr>
        <w:t xml:space="preserve">1999</w:t>
      </w:r>
      <w:r>
        <w:rPr>
          <w:rFonts w:ascii="Arial" w:cs="Arial" w:eastAsia="Arial" w:hAnsi="Arial"/>
          <w:sz w:val="20"/>
          <w:szCs w:val="20"/>
        </w:rPr>
        <w:t xml:space="preserve">	</w:t>
      </w:r>
      <w:r>
        <w:rPr>
          <w:rFonts w:ascii="Arial" w:cs="Arial" w:eastAsia="Arial" w:hAnsi="Arial"/>
          <w:color w:val="000000"/>
          <w:sz w:val="20"/>
          <w:szCs w:val="20"/>
        </w:rPr>
        <w:t xml:space="preserve">Canadian Tax Foundation ($20,000). Co-Investigator: The Underground Economy in Canada. (Awarded: 1999)</w:t>
      </w:r>
    </w:p>
    <w:p>
      <w:pPr>
        <w:spacing w:after="80" w:before="160"/>
      </w:pPr>
      <w:r>
        <w:rPr>
          <w:rFonts w:ascii="Arial" w:cs="Arial" w:eastAsia="Arial" w:hAnsi="Arial"/>
          <w:b/>
          <w:bCs/>
          <w:color w:val="404040"/>
          <w:sz w:val="22"/>
          <w:szCs w:val="22"/>
        </w:rPr>
        <w:t xml:space="preserve">Internal</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Thelma Margaret Horte Memorial Fellowship in Women and Society ($10,000), University of Calgary. Principal Investigator: Gender Disparities in the Labour Market? Examining the COVID-19 Pandemic. (Awarded: July 2021)</w:t>
      </w:r>
    </w:p>
    <w:p>
      <w:pPr>
        <w:tabs>
          <w:tab w:val="left" w:pos="1800"/>
        </w:tabs>
        <w:spacing w:after="100"/>
        <w:ind w:left="1800" w:hanging="1440"/>
      </w:pPr>
      <w:r>
        <w:rPr>
          <w:rFonts w:ascii="Arial" w:cs="Arial" w:eastAsia="Arial" w:hAnsi="Arial"/>
          <w:b/>
          <w:bCs/>
          <w:sz w:val="20"/>
          <w:szCs w:val="20"/>
        </w:rPr>
        <w:t xml:space="preserve">2018</w:t>
      </w:r>
      <w:r>
        <w:rPr>
          <w:rFonts w:ascii="Arial" w:cs="Arial" w:eastAsia="Arial" w:hAnsi="Arial"/>
          <w:sz w:val="20"/>
          <w:szCs w:val="20"/>
        </w:rPr>
        <w:t xml:space="preserve">	</w:t>
      </w:r>
      <w:r>
        <w:rPr>
          <w:rFonts w:ascii="Arial" w:cs="Arial" w:eastAsia="Arial" w:hAnsi="Arial"/>
          <w:color w:val="000000"/>
          <w:sz w:val="20"/>
          <w:szCs w:val="20"/>
        </w:rPr>
        <w:t xml:space="preserve">Strategic Initiatives ($20,000), School of Public Policy. Principal Investigator: Gender-based Analysis, Gender Budgeting, and Gender Mainstreaming: Implications for Public Policy. (Awarded: May 2018)</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Internal Research/Creative Project Grant ($6,780), University of Victoria. Principal Investigator: Accuracy of Insider Reports in Canada, 1996–2011. (Awarded: April 2014)</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Internal Research/Creative Project Grant ($6,780), University of Victoria. Principal Investigator: User Fee Design and Implementation in Canada. (Awarded: April 2012)</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Work Study Program Grant ($3,000), University of Victoria. Principal Investigator: Options Backdating. (Awarded: September 2009)</w:t>
      </w:r>
    </w:p>
    <w:p>
      <w:pPr>
        <w:pBdr>
          <w:bottom w:val="single" w:color="AAAAAA" w:sz="6" w:space="4"/>
        </w:pBdr>
        <w:spacing w:after="120" w:before="240"/>
      </w:pPr>
      <w:r>
        <w:rPr>
          <w:rFonts w:ascii="Arial" w:cs="Arial" w:eastAsia="Arial" w:hAnsi="Arial"/>
          <w:b/>
          <w:bCs/>
          <w:color w:val="1F3864"/>
          <w:sz w:val="26"/>
          <w:szCs w:val="26"/>
        </w:rPr>
        <w:t xml:space="preserve">PROFESSIONAL &amp; COMMUNITY ENGAGEMENT</w:t>
      </w:r>
    </w:p>
    <w:p>
      <w:pPr>
        <w:tabs>
          <w:tab w:val="left" w:pos="1440"/>
        </w:tabs>
        <w:spacing w:after="100"/>
        <w:ind w:left="1440" w:hanging="1440"/>
      </w:pPr>
      <w:r>
        <w:rPr>
          <w:rFonts w:ascii="Arial" w:cs="Arial" w:eastAsia="Arial" w:hAnsi="Arial"/>
          <w:b/>
          <w:bCs/>
          <w:sz w:val="20"/>
          <w:szCs w:val="20"/>
        </w:rPr>
        <w:t xml:space="preserve">2026–present</w:t>
      </w:r>
      <w:r>
        <w:rPr>
          <w:rFonts w:ascii="Arial" w:cs="Arial" w:eastAsia="Arial" w:hAnsi="Arial"/>
          <w:sz w:val="20"/>
          <w:szCs w:val="20"/>
        </w:rPr>
        <w:t xml:space="preserve">	</w:t>
      </w:r>
      <w:r>
        <w:rPr>
          <w:rFonts w:ascii="Arial" w:cs="Arial" w:eastAsia="Arial" w:hAnsi="Arial"/>
          <w:color w:val="000000"/>
          <w:sz w:val="20"/>
          <w:szCs w:val="20"/>
        </w:rPr>
        <w:t xml:space="preserve">Member, Research Roundtable, Disability Without Poverty.</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Member, Feminist Policy Lab, Concordia University.</w:t>
      </w:r>
    </w:p>
    <w:p>
      <w:pPr>
        <w:tabs>
          <w:tab w:val="left" w:pos="1440"/>
        </w:tabs>
        <w:spacing w:after="100"/>
        <w:ind w:left="144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Co-Founder, INCLUSIECON (inclusiecon.ca).</w:t>
      </w:r>
    </w:p>
    <w:p>
      <w:pPr>
        <w:tabs>
          <w:tab w:val="left" w:pos="1440"/>
        </w:tabs>
        <w:spacing w:after="100"/>
        <w:ind w:left="1440" w:hanging="1440"/>
      </w:pPr>
      <w:r>
        <w:rPr>
          <w:rFonts w:ascii="Arial" w:cs="Arial" w:eastAsia="Arial" w:hAnsi="Arial"/>
          <w:b/>
          <w:bCs/>
          <w:sz w:val="20"/>
          <w:szCs w:val="20"/>
        </w:rPr>
        <w:t xml:space="preserve">2024–present</w:t>
      </w:r>
      <w:r>
        <w:rPr>
          <w:rFonts w:ascii="Arial" w:cs="Arial" w:eastAsia="Arial" w:hAnsi="Arial"/>
          <w:sz w:val="20"/>
          <w:szCs w:val="20"/>
        </w:rPr>
        <w:t xml:space="preserve">	</w:t>
      </w:r>
      <w:r>
        <w:rPr>
          <w:rFonts w:ascii="Arial" w:cs="Arial" w:eastAsia="Arial" w:hAnsi="Arial"/>
          <w:color w:val="000000"/>
          <w:sz w:val="20"/>
          <w:szCs w:val="20"/>
        </w:rPr>
        <w:t xml:space="preserve">Member, Income Security Policy &amp; Research Exchange Group.</w:t>
      </w:r>
    </w:p>
    <w:p>
      <w:pPr>
        <w:tabs>
          <w:tab w:val="left" w:pos="1440"/>
        </w:tabs>
        <w:spacing w:after="100"/>
        <w:ind w:left="1440" w:hanging="1440"/>
      </w:pPr>
      <w:r>
        <w:rPr>
          <w:rFonts w:ascii="Arial" w:cs="Arial" w:eastAsia="Arial" w:hAnsi="Arial"/>
          <w:b/>
          <w:bCs/>
          <w:sz w:val="20"/>
          <w:szCs w:val="20"/>
        </w:rPr>
        <w:t xml:space="preserve">2020–present</w:t>
      </w:r>
      <w:r>
        <w:rPr>
          <w:rFonts w:ascii="Arial" w:cs="Arial" w:eastAsia="Arial" w:hAnsi="Arial"/>
          <w:sz w:val="20"/>
          <w:szCs w:val="20"/>
        </w:rPr>
        <w:t xml:space="preserve">	</w:t>
      </w:r>
      <w:r>
        <w:rPr>
          <w:rFonts w:ascii="Arial" w:cs="Arial" w:eastAsia="Arial" w:hAnsi="Arial"/>
          <w:color w:val="000000"/>
          <w:sz w:val="20"/>
          <w:szCs w:val="20"/>
        </w:rPr>
        <w:t xml:space="preserve">Member, Editorial Board, Canadian Tax Journal.</w:t>
      </w:r>
    </w:p>
    <w:p>
      <w:pPr>
        <w:tabs>
          <w:tab w:val="left" w:pos="1440"/>
        </w:tabs>
        <w:spacing w:after="100"/>
        <w:ind w:left="1440" w:hanging="1440"/>
      </w:pPr>
      <w:r>
        <w:rPr>
          <w:rFonts w:ascii="Arial" w:cs="Arial" w:eastAsia="Arial" w:hAnsi="Arial"/>
          <w:b/>
          <w:bCs/>
          <w:sz w:val="20"/>
          <w:szCs w:val="20"/>
        </w:rPr>
        <w:t xml:space="preserve">2026–2031</w:t>
      </w:r>
      <w:r>
        <w:rPr>
          <w:rFonts w:ascii="Arial" w:cs="Arial" w:eastAsia="Arial" w:hAnsi="Arial"/>
          <w:sz w:val="20"/>
          <w:szCs w:val="20"/>
        </w:rPr>
        <w:t xml:space="preserve">	</w:t>
      </w:r>
      <w:r>
        <w:rPr>
          <w:rFonts w:ascii="Arial" w:cs="Arial" w:eastAsia="Arial" w:hAnsi="Arial"/>
          <w:color w:val="000000"/>
          <w:sz w:val="20"/>
          <w:szCs w:val="20"/>
        </w:rPr>
        <w:t xml:space="preserve">Member, Project Steering Committee, Poverty Reduction in Canada.</w:t>
      </w:r>
    </w:p>
    <w:p>
      <w:pPr>
        <w:tabs>
          <w:tab w:val="left" w:pos="1440"/>
        </w:tabs>
        <w:spacing w:after="100"/>
        <w:ind w:left="1440" w:hanging="1440"/>
      </w:pPr>
      <w:r>
        <w:rPr>
          <w:rFonts w:ascii="Arial" w:cs="Arial" w:eastAsia="Arial" w:hAnsi="Arial"/>
          <w:b/>
          <w:bCs/>
          <w:sz w:val="20"/>
          <w:szCs w:val="20"/>
        </w:rPr>
        <w:t xml:space="preserve">2026–2029</w:t>
      </w:r>
      <w:r>
        <w:rPr>
          <w:rFonts w:ascii="Arial" w:cs="Arial" w:eastAsia="Arial" w:hAnsi="Arial"/>
          <w:sz w:val="20"/>
          <w:szCs w:val="20"/>
        </w:rPr>
        <w:t xml:space="preserve">	</w:t>
      </w:r>
      <w:r>
        <w:rPr>
          <w:rFonts w:ascii="Arial" w:cs="Arial" w:eastAsia="Arial" w:hAnsi="Arial"/>
          <w:color w:val="000000"/>
          <w:sz w:val="20"/>
          <w:szCs w:val="20"/>
        </w:rPr>
        <w:t xml:space="preserve">PI and Project Director, Fair and Accountable Canadian Taxation (FACT).</w:t>
      </w:r>
    </w:p>
    <w:p>
      <w:pPr>
        <w:tabs>
          <w:tab w:val="left" w:pos="1440"/>
        </w:tabs>
        <w:spacing w:after="100"/>
        <w:ind w:left="1440" w:hanging="1440"/>
      </w:pPr>
      <w:r>
        <w:rPr>
          <w:rFonts w:ascii="Arial" w:cs="Arial" w:eastAsia="Arial" w:hAnsi="Arial"/>
          <w:b/>
          <w:bCs/>
          <w:sz w:val="20"/>
          <w:szCs w:val="20"/>
        </w:rPr>
        <w:t xml:space="preserve">2026–2029</w:t>
      </w:r>
      <w:r>
        <w:rPr>
          <w:rFonts w:ascii="Arial" w:cs="Arial" w:eastAsia="Arial" w:hAnsi="Arial"/>
          <w:sz w:val="20"/>
          <w:szCs w:val="20"/>
        </w:rPr>
        <w:t xml:space="preserve">	</w:t>
      </w:r>
      <w:r>
        <w:rPr>
          <w:rFonts w:ascii="Arial" w:cs="Arial" w:eastAsia="Arial" w:hAnsi="Arial"/>
          <w:color w:val="000000"/>
          <w:sz w:val="20"/>
          <w:szCs w:val="20"/>
        </w:rPr>
        <w:t xml:space="preserve">Member, Joint Governance Committee, Fair and Accountable Canadian Taxation (FACT).</w:t>
      </w:r>
    </w:p>
    <w:p>
      <w:pPr>
        <w:tabs>
          <w:tab w:val="left" w:pos="1440"/>
        </w:tabs>
        <w:spacing w:after="100"/>
        <w:ind w:left="144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Co-Director, Equity in Needs-based Assistance for Better Lives and Engagement (ENABLE).</w:t>
      </w:r>
    </w:p>
    <w:p>
      <w:pPr>
        <w:tabs>
          <w:tab w:val="left" w:pos="1440"/>
        </w:tabs>
        <w:spacing w:after="100"/>
        <w:ind w:left="144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Academic Lead, Marginal Value of Public Funds Partnership.</w:t>
      </w:r>
    </w:p>
    <w:p>
      <w:pPr>
        <w:tabs>
          <w:tab w:val="left" w:pos="1440"/>
        </w:tabs>
        <w:spacing w:after="100"/>
        <w:ind w:left="144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Chair, Awards, Canadian Women Economists Committee.</w:t>
      </w:r>
    </w:p>
    <w:p>
      <w:pPr>
        <w:tabs>
          <w:tab w:val="left" w:pos="1440"/>
        </w:tabs>
        <w:spacing w:after="100"/>
        <w:ind w:left="144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Member, Canadian Women Economists Committee.</w:t>
      </w:r>
    </w:p>
    <w:p>
      <w:pPr>
        <w:tabs>
          <w:tab w:val="left" w:pos="1440"/>
        </w:tabs>
        <w:spacing w:after="100"/>
        <w:ind w:left="144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Member, Advisory Council, Public Policy Forum.</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Panelist, Appearance Before Members of Cabinet, Cabinet Retreat, August 22, 2023. Topic: vulnerable youth, including youth aging out of care.</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Expert Policy Consultation, City of Brampton, User Fee Policy.</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Expert Testimony, Senate Standing Committee on Social Affairs, Science, and Technology—GBA+ in the Policy Process, September 21, 2022.</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Member, 2021 Census of Population Data Certification Working Group.</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Expert Witness, Single Mothers' Alliance of BC Society v Her Majesty the Queen, Supreme Court of British Columbia (plaintiff now the Centre for Family Equity, formerly the Single Mothers' Alliance of BC; case settled February 15, 2024).</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Member, Scientific Council, ONE Society Network.</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color w:val="000000"/>
          <w:sz w:val="20"/>
          <w:szCs w:val="20"/>
        </w:rPr>
        <w:t xml:space="preserve">Member, Task Force on COVID-19, Royal Society of Canada.</w:t>
      </w:r>
    </w:p>
    <w:p>
      <w:pPr>
        <w:tabs>
          <w:tab w:val="left" w:pos="1440"/>
        </w:tabs>
        <w:spacing w:after="100"/>
        <w:ind w:left="1440" w:hanging="1440"/>
      </w:pPr>
      <w:r>
        <w:rPr>
          <w:rFonts w:ascii="Arial" w:cs="Arial" w:eastAsia="Arial" w:hAnsi="Arial"/>
          <w:b/>
          <w:bCs/>
          <w:sz w:val="20"/>
          <w:szCs w:val="20"/>
        </w:rPr>
        <w:t xml:space="preserve">2021–2022</w:t>
      </w:r>
      <w:r>
        <w:rPr>
          <w:rFonts w:ascii="Arial" w:cs="Arial" w:eastAsia="Arial" w:hAnsi="Arial"/>
          <w:sz w:val="20"/>
          <w:szCs w:val="20"/>
        </w:rPr>
        <w:t xml:space="preserve">	</w:t>
      </w:r>
      <w:r>
        <w:rPr>
          <w:rFonts w:ascii="Arial" w:cs="Arial" w:eastAsia="Arial" w:hAnsi="Arial"/>
          <w:color w:val="000000"/>
          <w:sz w:val="20"/>
          <w:szCs w:val="20"/>
        </w:rPr>
        <w:t xml:space="preserve">Academic Director, Nunavut Basic Income Project, Government of Nunavut.</w:t>
      </w:r>
    </w:p>
    <w:p>
      <w:pPr>
        <w:tabs>
          <w:tab w:val="left" w:pos="1440"/>
        </w:tabs>
        <w:spacing w:after="100"/>
        <w:ind w:left="1440" w:hanging="1440"/>
      </w:pPr>
      <w:r>
        <w:rPr>
          <w:rFonts w:ascii="Arial" w:cs="Arial" w:eastAsia="Arial" w:hAnsi="Arial"/>
          <w:b/>
          <w:bCs/>
          <w:sz w:val="20"/>
          <w:szCs w:val="20"/>
        </w:rPr>
        <w:t xml:space="preserve">2021–2022</w:t>
      </w:r>
      <w:r>
        <w:rPr>
          <w:rFonts w:ascii="Arial" w:cs="Arial" w:eastAsia="Arial" w:hAnsi="Arial"/>
          <w:sz w:val="20"/>
          <w:szCs w:val="20"/>
        </w:rPr>
        <w:t xml:space="preserve">	</w:t>
      </w:r>
      <w:r>
        <w:rPr>
          <w:rFonts w:ascii="Arial" w:cs="Arial" w:eastAsia="Arial" w:hAnsi="Arial"/>
          <w:color w:val="000000"/>
          <w:sz w:val="20"/>
          <w:szCs w:val="20"/>
        </w:rPr>
        <w:t xml:space="preserve">Member, Task Force on Women in the Economy, Government of Canada.</w:t>
      </w:r>
    </w:p>
    <w:p>
      <w:pPr>
        <w:tabs>
          <w:tab w:val="left" w:pos="1440"/>
        </w:tabs>
        <w:spacing w:after="100"/>
        <w:ind w:left="144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Co-chair, COVID-19 Impact on Women Working Group, Royal Society of Canada.</w:t>
      </w:r>
    </w:p>
    <w:p>
      <w:pPr>
        <w:tabs>
          <w:tab w:val="left" w:pos="1440"/>
        </w:tabs>
        <w:spacing w:after="100"/>
        <w:ind w:left="1440" w:hanging="1440"/>
      </w:pPr>
      <w:r>
        <w:rPr>
          <w:rFonts w:ascii="Arial" w:cs="Arial" w:eastAsia="Arial" w:hAnsi="Arial"/>
          <w:b/>
          <w:bCs/>
          <w:sz w:val="20"/>
          <w:szCs w:val="20"/>
        </w:rPr>
        <w:t xml:space="preserve">2020–2022</w:t>
      </w:r>
      <w:r>
        <w:rPr>
          <w:rFonts w:ascii="Arial" w:cs="Arial" w:eastAsia="Arial" w:hAnsi="Arial"/>
          <w:sz w:val="20"/>
          <w:szCs w:val="20"/>
        </w:rPr>
        <w:t xml:space="preserve">	</w:t>
      </w:r>
      <w:r>
        <w:rPr>
          <w:rFonts w:ascii="Arial" w:cs="Arial" w:eastAsia="Arial" w:hAnsi="Arial"/>
          <w:color w:val="000000"/>
          <w:sz w:val="20"/>
          <w:szCs w:val="20"/>
        </w:rPr>
        <w:t xml:space="preserve">Member, One Plan Team, Canadian Disability Benefit Working Group.</w:t>
      </w:r>
    </w:p>
    <w:p>
      <w:pPr>
        <w:tabs>
          <w:tab w:val="left" w:pos="1440"/>
        </w:tabs>
        <w:spacing w:after="100"/>
        <w:ind w:left="144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Country Expert: Canada, SGI Special Survey, Sustainability and Effectiveness of COVID-19 Crisis Management, Bertelsmann Stiftung.</w:t>
      </w:r>
    </w:p>
    <w:p>
      <w:pPr>
        <w:tabs>
          <w:tab w:val="left" w:pos="1440"/>
        </w:tabs>
        <w:spacing w:after="100"/>
        <w:ind w:left="144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Panelist, The Possibility Panel, The Next 30.</w:t>
      </w:r>
    </w:p>
    <w:p>
      <w:pPr>
        <w:tabs>
          <w:tab w:val="left" w:pos="1440"/>
        </w:tabs>
        <w:spacing w:after="100"/>
        <w:ind w:left="144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Member, Post-COVID-19 Economic Recovery Working Group, Royal Society of Canada.</w:t>
      </w:r>
    </w:p>
    <w:p>
      <w:pPr>
        <w:tabs>
          <w:tab w:val="left" w:pos="1440"/>
        </w:tabs>
        <w:spacing w:after="100"/>
        <w:ind w:left="1440" w:hanging="1440"/>
      </w:pPr>
      <w:r>
        <w:rPr>
          <w:rFonts w:ascii="Arial" w:cs="Arial" w:eastAsia="Arial" w:hAnsi="Arial"/>
          <w:b/>
          <w:bCs/>
          <w:sz w:val="20"/>
          <w:szCs w:val="20"/>
        </w:rPr>
        <w:t xml:space="preserve">2019–2020</w:t>
      </w:r>
      <w:r>
        <w:rPr>
          <w:rFonts w:ascii="Arial" w:cs="Arial" w:eastAsia="Arial" w:hAnsi="Arial"/>
          <w:sz w:val="20"/>
          <w:szCs w:val="20"/>
        </w:rPr>
        <w:t xml:space="preserve">	</w:t>
      </w:r>
      <w:r>
        <w:rPr>
          <w:rFonts w:ascii="Arial" w:cs="Arial" w:eastAsia="Arial" w:hAnsi="Arial"/>
          <w:color w:val="000000"/>
          <w:sz w:val="20"/>
          <w:szCs w:val="20"/>
        </w:rPr>
        <w:t xml:space="preserve">Member, City of Calgary's Financial Task Force, City of Calgary.</w:t>
      </w:r>
    </w:p>
    <w:p>
      <w:pPr>
        <w:tabs>
          <w:tab w:val="left" w:pos="1440"/>
        </w:tabs>
        <w:spacing w:after="100"/>
        <w:ind w:left="1440" w:hanging="1440"/>
      </w:pPr>
      <w:r>
        <w:rPr>
          <w:rFonts w:ascii="Arial" w:cs="Arial" w:eastAsia="Arial" w:hAnsi="Arial"/>
          <w:b/>
          <w:bCs/>
          <w:sz w:val="20"/>
          <w:szCs w:val="20"/>
        </w:rPr>
        <w:t xml:space="preserve">2018–2021</w:t>
      </w:r>
      <w:r>
        <w:rPr>
          <w:rFonts w:ascii="Arial" w:cs="Arial" w:eastAsia="Arial" w:hAnsi="Arial"/>
          <w:sz w:val="20"/>
          <w:szCs w:val="20"/>
        </w:rPr>
        <w:t xml:space="preserve">	</w:t>
      </w:r>
      <w:r>
        <w:rPr>
          <w:rFonts w:ascii="Arial" w:cs="Arial" w:eastAsia="Arial" w:hAnsi="Arial"/>
          <w:color w:val="000000"/>
          <w:sz w:val="20"/>
          <w:szCs w:val="20"/>
        </w:rPr>
        <w:t xml:space="preserve">Member, B.C. Basic Income Expert Panel, Government of British Columbia.</w:t>
      </w:r>
    </w:p>
    <w:p>
      <w:pPr>
        <w:tabs>
          <w:tab w:val="left" w:pos="1440"/>
        </w:tabs>
        <w:spacing w:after="100"/>
        <w:ind w:left="144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Commissioner, Ecofiscal Commission.</w:t>
      </w:r>
    </w:p>
    <w:p>
      <w:pPr>
        <w:tabs>
          <w:tab w:val="left" w:pos="1440"/>
        </w:tabs>
        <w:spacing w:after="100"/>
        <w:ind w:left="144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Chair, B.C. MSP Task Force, Government of British Columbia.</w:t>
      </w:r>
    </w:p>
    <w:p>
      <w:pPr>
        <w:tabs>
          <w:tab w:val="left" w:pos="1440"/>
        </w:tabs>
        <w:spacing w:after="100"/>
        <w:ind w:left="144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Expert Testimony, Senate Standing Committee on Finance—Small Business Tax Proposals, November 6, 2017.</w:t>
      </w:r>
    </w:p>
    <w:p>
      <w:pPr>
        <w:tabs>
          <w:tab w:val="left" w:pos="1440"/>
        </w:tabs>
        <w:spacing w:after="100"/>
        <w:ind w:left="144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Finance—Small Business Tax Proposals, September 25, 2017.</w:t>
      </w:r>
    </w:p>
    <w:p>
      <w:pPr>
        <w:tabs>
          <w:tab w:val="left" w:pos="1440"/>
        </w:tabs>
        <w:spacing w:after="100"/>
        <w:ind w:left="1440" w:hanging="1440"/>
      </w:pPr>
      <w:r>
        <w:rPr>
          <w:rFonts w:ascii="Arial" w:cs="Arial" w:eastAsia="Arial" w:hAnsi="Arial"/>
          <w:b/>
          <w:bCs/>
          <w:sz w:val="20"/>
          <w:szCs w:val="20"/>
        </w:rPr>
        <w:t xml:space="preserve">2015–2018</w:t>
      </w:r>
      <w:r>
        <w:rPr>
          <w:rFonts w:ascii="Arial" w:cs="Arial" w:eastAsia="Arial" w:hAnsi="Arial"/>
          <w:sz w:val="20"/>
          <w:szCs w:val="20"/>
        </w:rPr>
        <w:t xml:space="preserve">	</w:t>
      </w:r>
      <w:r>
        <w:rPr>
          <w:rFonts w:ascii="Arial" w:cs="Arial" w:eastAsia="Arial" w:hAnsi="Arial"/>
          <w:color w:val="000000"/>
          <w:sz w:val="20"/>
          <w:szCs w:val="20"/>
        </w:rPr>
        <w:t xml:space="preserve">Member, Editorial Board, The Mowat Centre.</w:t>
      </w:r>
    </w:p>
    <w:p>
      <w:pPr>
        <w:tabs>
          <w:tab w:val="left" w:pos="1440"/>
        </w:tabs>
        <w:spacing w:after="100"/>
        <w:ind w:left="1440" w:hanging="1440"/>
      </w:pPr>
      <w:r>
        <w:rPr>
          <w:rFonts w:ascii="Arial" w:cs="Arial" w:eastAsia="Arial" w:hAnsi="Arial"/>
          <w:b/>
          <w:bCs/>
          <w:sz w:val="20"/>
          <w:szCs w:val="20"/>
        </w:rPr>
        <w:t xml:space="preserve">2014–2022</w:t>
      </w:r>
      <w:r>
        <w:rPr>
          <w:rFonts w:ascii="Arial" w:cs="Arial" w:eastAsia="Arial" w:hAnsi="Arial"/>
          <w:sz w:val="20"/>
          <w:szCs w:val="20"/>
        </w:rPr>
        <w:t xml:space="preserve">	</w:t>
      </w:r>
      <w:r>
        <w:rPr>
          <w:rFonts w:ascii="Arial" w:cs="Arial" w:eastAsia="Arial" w:hAnsi="Arial"/>
          <w:color w:val="000000"/>
          <w:sz w:val="20"/>
          <w:szCs w:val="20"/>
        </w:rPr>
        <w:t xml:space="preserve">Member, Research Advisory Board, Northern Policy Institute.</w:t>
      </w:r>
    </w:p>
    <w:p>
      <w:pPr>
        <w:tabs>
          <w:tab w:val="left" w:pos="1440"/>
        </w:tabs>
        <w:spacing w:after="100"/>
        <w:ind w:left="144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Finance—Bill C-43, November 17, 2014.</w:t>
      </w:r>
    </w:p>
    <w:p>
      <w:pPr>
        <w:tabs>
          <w:tab w:val="left" w:pos="1440"/>
        </w:tabs>
        <w:spacing w:after="100"/>
        <w:ind w:left="144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Expert Testimony, House of Commons Standing Committee on Finance—Bill C-31, May 8, 2014.</w:t>
      </w:r>
    </w:p>
    <w:p>
      <w:pPr>
        <w:tabs>
          <w:tab w:val="left" w:pos="1440"/>
        </w:tabs>
        <w:spacing w:after="100"/>
        <w:ind w:left="1440" w:hanging="1440"/>
      </w:pPr>
      <w:r>
        <w:rPr>
          <w:rFonts w:ascii="Arial" w:cs="Arial" w:eastAsia="Arial" w:hAnsi="Arial"/>
          <w:b/>
          <w:bCs/>
          <w:sz w:val="20"/>
          <w:szCs w:val="20"/>
        </w:rPr>
        <w:t xml:space="preserve">2013–2015</w:t>
      </w:r>
      <w:r>
        <w:rPr>
          <w:rFonts w:ascii="Arial" w:cs="Arial" w:eastAsia="Arial" w:hAnsi="Arial"/>
          <w:sz w:val="20"/>
          <w:szCs w:val="20"/>
        </w:rPr>
        <w:t xml:space="preserve">	</w:t>
      </w:r>
      <w:r>
        <w:rPr>
          <w:rFonts w:ascii="Arial" w:cs="Arial" w:eastAsia="Arial" w:hAnsi="Arial"/>
          <w:color w:val="000000"/>
          <w:sz w:val="20"/>
          <w:szCs w:val="20"/>
        </w:rPr>
        <w:t xml:space="preserve">Member, Purvis Prize Committee, Canadian Economics Association.</w:t>
      </w:r>
    </w:p>
    <w:p>
      <w:pPr>
        <w:tabs>
          <w:tab w:val="left" w:pos="1440"/>
        </w:tabs>
        <w:spacing w:after="100"/>
        <w:ind w:left="1440" w:hanging="1440"/>
      </w:pPr>
      <w:r>
        <w:rPr>
          <w:rFonts w:ascii="Arial" w:cs="Arial" w:eastAsia="Arial" w:hAnsi="Arial"/>
          <w:b/>
          <w:bCs/>
          <w:sz w:val="20"/>
          <w:szCs w:val="20"/>
        </w:rPr>
        <w:t xml:space="preserve">2007–2018</w:t>
      </w:r>
      <w:r>
        <w:rPr>
          <w:rFonts w:ascii="Arial" w:cs="Arial" w:eastAsia="Arial" w:hAnsi="Arial"/>
          <w:sz w:val="20"/>
          <w:szCs w:val="20"/>
        </w:rPr>
        <w:t xml:space="preserve">	</w:t>
      </w:r>
      <w:r>
        <w:rPr>
          <w:rFonts w:ascii="Arial" w:cs="Arial" w:eastAsia="Arial" w:hAnsi="Arial"/>
          <w:color w:val="000000"/>
          <w:sz w:val="20"/>
          <w:szCs w:val="20"/>
        </w:rPr>
        <w:t xml:space="preserve">Member, Research Data Centre Access Committee.</w:t>
      </w:r>
    </w:p>
    <w:p>
      <w:pPr>
        <w:pBdr>
          <w:bottom w:val="single" w:color="AAAAAA" w:sz="6" w:space="4"/>
        </w:pBdr>
        <w:spacing w:after="120" w:before="240"/>
      </w:pPr>
      <w:r>
        <w:rPr>
          <w:rFonts w:ascii="Arial" w:cs="Arial" w:eastAsia="Arial" w:hAnsi="Arial"/>
          <w:b/>
          <w:bCs/>
          <w:color w:val="1F3864"/>
          <w:sz w:val="26"/>
          <w:szCs w:val="26"/>
        </w:rPr>
        <w:t xml:space="preserve">AWARDS AND HONOURS</w:t>
      </w:r>
    </w:p>
    <w:p>
      <w:pPr>
        <w:tabs>
          <w:tab w:val="left" w:pos="1440"/>
        </w:tabs>
        <w:spacing w:after="100"/>
        <w:ind w:left="144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Honourable Mention, Doug Purvis Memorial Prize, Canadian Economics Association, for Impacts of the COVID-19 Pandemic on Women in Canada (RSC, 2022), with Jennifer Robson. (Awarded: June 2023)</w:t>
      </w:r>
    </w:p>
    <w:p>
      <w:pPr>
        <w:tabs>
          <w:tab w:val="left" w:pos="1440"/>
        </w:tabs>
        <w:spacing w:after="100"/>
        <w:ind w:left="144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Queen's Platinum Jubilee Medal, Government of Alberta. (Awarded: November 2022)</w:t>
      </w:r>
    </w:p>
    <w:p>
      <w:pPr>
        <w:tabs>
          <w:tab w:val="left" w:pos="1440"/>
        </w:tabs>
        <w:spacing w:after="100"/>
        <w:ind w:left="144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Faculty of Arts Award for Public Engagement, University of Calgary. (Awarded: May 2021)</w:t>
      </w:r>
    </w:p>
    <w:p>
      <w:pPr>
        <w:tabs>
          <w:tab w:val="left" w:pos="1440"/>
        </w:tabs>
        <w:spacing w:after="100"/>
        <w:ind w:left="1440" w:hanging="1440"/>
      </w:pPr>
      <w:r>
        <w:rPr>
          <w:rFonts w:ascii="Arial" w:cs="Arial" w:eastAsia="Arial" w:hAnsi="Arial"/>
          <w:b/>
          <w:bCs/>
          <w:sz w:val="20"/>
          <w:szCs w:val="20"/>
        </w:rPr>
        <w:t xml:space="preserve">2004</w:t>
      </w:r>
      <w:r>
        <w:rPr>
          <w:rFonts w:ascii="Arial" w:cs="Arial" w:eastAsia="Arial" w:hAnsi="Arial"/>
          <w:sz w:val="20"/>
          <w:szCs w:val="20"/>
        </w:rPr>
        <w:t xml:space="preserve">	</w:t>
      </w:r>
      <w:r>
        <w:rPr>
          <w:rFonts w:ascii="Arial" w:cs="Arial" w:eastAsia="Arial" w:hAnsi="Arial"/>
          <w:color w:val="000000"/>
          <w:sz w:val="20"/>
          <w:szCs w:val="20"/>
        </w:rPr>
        <w:t xml:space="preserve">Social Sciences and Humanities Research Council Doctoral Award. (Awarded: 2004–2005)</w:t>
      </w:r>
    </w:p>
    <w:p>
      <w:pPr>
        <w:tabs>
          <w:tab w:val="left" w:pos="1440"/>
        </w:tabs>
        <w:spacing w:after="100"/>
        <w:ind w:left="1440" w:hanging="1440"/>
      </w:pPr>
      <w:r>
        <w:rPr>
          <w:rFonts w:ascii="Arial" w:cs="Arial" w:eastAsia="Arial" w:hAnsi="Arial"/>
          <w:b/>
          <w:bCs/>
          <w:sz w:val="20"/>
          <w:szCs w:val="20"/>
        </w:rPr>
        <w:t xml:space="preserve">2003</w:t>
      </w:r>
      <w:r>
        <w:rPr>
          <w:rFonts w:ascii="Arial" w:cs="Arial" w:eastAsia="Arial" w:hAnsi="Arial"/>
          <w:sz w:val="20"/>
          <w:szCs w:val="20"/>
        </w:rPr>
        <w:t xml:space="preserve">	</w:t>
      </w:r>
      <w:r>
        <w:rPr>
          <w:rFonts w:ascii="Arial" w:cs="Arial" w:eastAsia="Arial" w:hAnsi="Arial"/>
          <w:color w:val="000000"/>
          <w:sz w:val="20"/>
          <w:szCs w:val="20"/>
        </w:rPr>
        <w:t xml:space="preserve">McMaster University Dean's Award for Excellence in Community Graduate Research. (Awarded: 2003–2004)</w:t>
      </w:r>
    </w:p>
    <w:p>
      <w:pPr>
        <w:tabs>
          <w:tab w:val="left" w:pos="1440"/>
        </w:tabs>
        <w:spacing w:after="100"/>
        <w:ind w:left="1440" w:hanging="1440"/>
      </w:pPr>
      <w:r>
        <w:rPr>
          <w:rFonts w:ascii="Arial" w:cs="Arial" w:eastAsia="Arial" w:hAnsi="Arial"/>
          <w:b/>
          <w:bCs/>
          <w:sz w:val="20"/>
          <w:szCs w:val="20"/>
        </w:rPr>
        <w:t xml:space="preserve">2003</w:t>
      </w:r>
      <w:r>
        <w:rPr>
          <w:rFonts w:ascii="Arial" w:cs="Arial" w:eastAsia="Arial" w:hAnsi="Arial"/>
          <w:sz w:val="20"/>
          <w:szCs w:val="20"/>
        </w:rPr>
        <w:t xml:space="preserve">	</w:t>
      </w:r>
      <w:r>
        <w:rPr>
          <w:rFonts w:ascii="Arial" w:cs="Arial" w:eastAsia="Arial" w:hAnsi="Arial"/>
          <w:color w:val="000000"/>
          <w:sz w:val="20"/>
          <w:szCs w:val="20"/>
        </w:rPr>
        <w:t xml:space="preserve">Ontario Graduate Scholarship. (Awarded: 2003–2004)</w:t>
      </w:r>
    </w:p>
    <w:p>
      <w:pPr>
        <w:tabs>
          <w:tab w:val="left" w:pos="1440"/>
        </w:tabs>
        <w:spacing w:after="100"/>
        <w:ind w:left="1440" w:hanging="1440"/>
      </w:pPr>
      <w:r>
        <w:rPr>
          <w:rFonts w:ascii="Arial" w:cs="Arial" w:eastAsia="Arial" w:hAnsi="Arial"/>
          <w:b/>
          <w:bCs/>
          <w:sz w:val="20"/>
          <w:szCs w:val="20"/>
        </w:rPr>
        <w:t xml:space="preserve">1998</w:t>
      </w:r>
      <w:r>
        <w:rPr>
          <w:rFonts w:ascii="Arial" w:cs="Arial" w:eastAsia="Arial" w:hAnsi="Arial"/>
          <w:sz w:val="20"/>
          <w:szCs w:val="20"/>
        </w:rPr>
        <w:t xml:space="preserve">	</w:t>
      </w:r>
      <w:r>
        <w:rPr>
          <w:rFonts w:ascii="Arial" w:cs="Arial" w:eastAsia="Arial" w:hAnsi="Arial"/>
          <w:color w:val="000000"/>
          <w:sz w:val="20"/>
          <w:szCs w:val="20"/>
        </w:rPr>
        <w:t xml:space="preserve">New Zealand Association of Economists Young Economists Prize. (Awarded: 1998)</w:t>
      </w:r>
    </w:p>
    <w:p>
      <w:pPr>
        <w:pBdr>
          <w:bottom w:val="single" w:color="AAAAAA" w:sz="6" w:space="4"/>
        </w:pBdr>
        <w:spacing w:after="120" w:before="240"/>
      </w:pPr>
      <w:r>
        <w:rPr>
          <w:rFonts w:ascii="Arial" w:cs="Arial" w:eastAsia="Arial" w:hAnsi="Arial"/>
          <w:b/>
          <w:bCs/>
          <w:color w:val="1F3864"/>
          <w:sz w:val="26"/>
          <w:szCs w:val="26"/>
        </w:rPr>
        <w:t xml:space="preserve">CONFERENCES ATTENDED</w:t>
      </w:r>
    </w:p>
    <w:p>
      <w:pPr>
        <w:spacing w:after="100"/>
      </w:pPr>
      <w:r>
        <w:rPr>
          <w:rFonts w:ascii="Arial" w:cs="Arial" w:eastAsia="Arial" w:hAnsi="Arial"/>
          <w:color w:val="000000"/>
          <w:sz w:val="20"/>
          <w:szCs w:val="20"/>
        </w:rPr>
        <w:t xml:space="preserve">Canadian Economics Association Meeting: 2005, 2006, 2008, 2009, 2012, 2014, 2015, 2019, 2021, 2022, 2023 (online).</w:t>
      </w:r>
    </w:p>
    <w:p>
      <w:pPr>
        <w:spacing w:after="100"/>
      </w:pPr>
      <w:r>
        <w:rPr>
          <w:rFonts w:ascii="Arial" w:cs="Arial" w:eastAsia="Arial" w:hAnsi="Arial"/>
          <w:color w:val="000000"/>
          <w:sz w:val="20"/>
          <w:szCs w:val="20"/>
        </w:rPr>
        <w:t xml:space="preserve">Canadian Political Science Association Meetings: 2020, 2021.</w:t>
      </w:r>
    </w:p>
    <w:p>
      <w:pPr>
        <w:spacing w:after="100"/>
      </w:pPr>
      <w:r>
        <w:rPr>
          <w:rFonts w:ascii="Arial" w:cs="Arial" w:eastAsia="Arial" w:hAnsi="Arial"/>
          <w:color w:val="000000"/>
          <w:sz w:val="20"/>
          <w:szCs w:val="20"/>
        </w:rPr>
        <w:t xml:space="preserve">Measuring the Contribution of Energy Infrastructure: 2018.</w:t>
      </w:r>
    </w:p>
    <w:p>
      <w:pPr>
        <w:spacing w:after="100"/>
      </w:pPr>
      <w:r>
        <w:rPr>
          <w:rFonts w:ascii="Arial" w:cs="Arial" w:eastAsia="Arial" w:hAnsi="Arial"/>
          <w:color w:val="000000"/>
          <w:sz w:val="20"/>
          <w:szCs w:val="20"/>
        </w:rPr>
        <w:t xml:space="preserve">Ottawa Economics Association Spring Conference: 2018.</w:t>
      </w:r>
    </w:p>
    <w:p>
      <w:pPr>
        <w:spacing w:after="100"/>
      </w:pPr>
      <w:r>
        <w:rPr>
          <w:rFonts w:ascii="Arial" w:cs="Arial" w:eastAsia="Arial" w:hAnsi="Arial"/>
          <w:color w:val="000000"/>
          <w:sz w:val="20"/>
          <w:szCs w:val="20"/>
        </w:rPr>
        <w:t xml:space="preserve">Funding the Canadian City: 2018.</w:t>
      </w:r>
    </w:p>
    <w:p>
      <w:pPr>
        <w:spacing w:after="100"/>
      </w:pPr>
      <w:r>
        <w:rPr>
          <w:rFonts w:ascii="Arial" w:cs="Arial" w:eastAsia="Arial" w:hAnsi="Arial"/>
          <w:color w:val="000000"/>
          <w:sz w:val="20"/>
          <w:szCs w:val="20"/>
        </w:rPr>
        <w:t xml:space="preserve">Tax Planning Using Private Corporations, Canadian Tax Foundation: 2017.</w:t>
      </w:r>
    </w:p>
    <w:p>
      <w:pPr>
        <w:spacing w:after="100"/>
      </w:pPr>
      <w:r>
        <w:rPr>
          <w:rFonts w:ascii="Arial" w:cs="Arial" w:eastAsia="Arial" w:hAnsi="Arial"/>
          <w:color w:val="000000"/>
          <w:sz w:val="20"/>
          <w:szCs w:val="20"/>
        </w:rPr>
        <w:t xml:space="preserve">68th Annual Tax Conference, Canadian Tax Foundation: 2016.</w:t>
      </w:r>
    </w:p>
    <w:p>
      <w:pPr>
        <w:spacing w:after="100"/>
      </w:pPr>
      <w:r>
        <w:rPr>
          <w:rFonts w:ascii="Arial" w:cs="Arial" w:eastAsia="Arial" w:hAnsi="Arial"/>
          <w:color w:val="000000"/>
          <w:sz w:val="20"/>
          <w:szCs w:val="20"/>
        </w:rPr>
        <w:t xml:space="preserve">Financing Infrastructure: Who Should Pay?: 2016.</w:t>
      </w:r>
    </w:p>
    <w:p>
      <w:pPr>
        <w:spacing w:after="100"/>
      </w:pPr>
      <w:r>
        <w:rPr>
          <w:rFonts w:ascii="Arial" w:cs="Arial" w:eastAsia="Arial" w:hAnsi="Arial"/>
          <w:color w:val="000000"/>
          <w:sz w:val="20"/>
          <w:szCs w:val="20"/>
        </w:rPr>
        <w:t xml:space="preserve">Basic Income Guarantee in Ontario, Northern Policy Institute: 2016.</w:t>
      </w:r>
    </w:p>
    <w:p>
      <w:pPr>
        <w:spacing w:after="100"/>
      </w:pPr>
      <w:r>
        <w:rPr>
          <w:rFonts w:ascii="Arial" w:cs="Arial" w:eastAsia="Arial" w:hAnsi="Arial"/>
          <w:color w:val="000000"/>
          <w:sz w:val="20"/>
          <w:szCs w:val="20"/>
        </w:rPr>
        <w:t xml:space="preserve">Reforming the Corporate Tax in a Changing World: 2016.</w:t>
      </w:r>
    </w:p>
    <w:p>
      <w:pPr>
        <w:spacing w:after="100"/>
      </w:pPr>
      <w:r>
        <w:rPr>
          <w:rFonts w:ascii="Arial" w:cs="Arial" w:eastAsia="Arial" w:hAnsi="Arial"/>
          <w:color w:val="000000"/>
          <w:sz w:val="20"/>
          <w:szCs w:val="20"/>
        </w:rPr>
        <w:t xml:space="preserve">Canadian Income Tax Act Centennial Symposium: 2016.</w:t>
      </w:r>
    </w:p>
    <w:p>
      <w:pPr>
        <w:spacing w:after="100"/>
      </w:pPr>
      <w:r>
        <w:rPr>
          <w:rFonts w:ascii="Arial" w:cs="Arial" w:eastAsia="Arial" w:hAnsi="Arial"/>
          <w:color w:val="000000"/>
          <w:sz w:val="20"/>
          <w:szCs w:val="20"/>
        </w:rPr>
        <w:t xml:space="preserve">Financial Market Regulatory Program Round Table: 2016.</w:t>
      </w:r>
    </w:p>
    <w:p>
      <w:pPr>
        <w:spacing w:after="100"/>
      </w:pPr>
      <w:r>
        <w:rPr>
          <w:rFonts w:ascii="Arial" w:cs="Arial" w:eastAsia="Arial" w:hAnsi="Arial"/>
          <w:color w:val="000000"/>
          <w:sz w:val="20"/>
          <w:szCs w:val="20"/>
        </w:rPr>
        <w:t xml:space="preserve">Tax Policy: Perspectives from Law and Accounting: 2005, 2006, 2008, 2009, 2010, 2014, 2015, 2016, 2022, 2023.</w:t>
      </w:r>
    </w:p>
    <w:p>
      <w:pPr>
        <w:spacing w:after="100"/>
      </w:pPr>
      <w:r>
        <w:rPr>
          <w:rFonts w:ascii="Arial" w:cs="Arial" w:eastAsia="Arial" w:hAnsi="Arial"/>
          <w:color w:val="000000"/>
          <w:sz w:val="20"/>
          <w:szCs w:val="20"/>
        </w:rPr>
        <w:t xml:space="preserve">Canadian Law and Economics Association Meetings: 2012.</w:t>
      </w:r>
    </w:p>
    <w:p>
      <w:pPr>
        <w:spacing w:after="100"/>
      </w:pPr>
      <w:r>
        <w:rPr>
          <w:rFonts w:ascii="Arial" w:cs="Arial" w:eastAsia="Arial" w:hAnsi="Arial"/>
          <w:color w:val="000000"/>
          <w:sz w:val="20"/>
          <w:szCs w:val="20"/>
        </w:rPr>
        <w:t xml:space="preserve">Journal of Economic Literature Wiley Economics Online Conference: 2011.</w:t>
      </w:r>
    </w:p>
    <w:p>
      <w:pPr>
        <w:spacing w:after="100"/>
      </w:pPr>
      <w:r>
        <w:rPr>
          <w:rFonts w:ascii="Arial" w:cs="Arial" w:eastAsia="Arial" w:hAnsi="Arial"/>
          <w:color w:val="000000"/>
          <w:sz w:val="20"/>
          <w:szCs w:val="20"/>
        </w:rPr>
        <w:t xml:space="preserve">Tax Time: A Workshop on Recent Research in Applied Public Finance: 2011.</w:t>
      </w:r>
    </w:p>
    <w:p>
      <w:pPr>
        <w:spacing w:after="100"/>
      </w:pPr>
      <w:r>
        <w:rPr>
          <w:rFonts w:ascii="Arial" w:cs="Arial" w:eastAsia="Arial" w:hAnsi="Arial"/>
          <w:color w:val="000000"/>
          <w:sz w:val="20"/>
          <w:szCs w:val="20"/>
        </w:rPr>
        <w:t xml:space="preserve">Annual Conference of Canadian Council for Small Business and Entrepreneurship: 2010.</w:t>
      </w:r>
    </w:p>
    <w:p>
      <w:pPr>
        <w:spacing w:after="100"/>
      </w:pPr>
      <w:r>
        <w:rPr>
          <w:rFonts w:ascii="Arial" w:cs="Arial" w:eastAsia="Arial" w:hAnsi="Arial"/>
          <w:color w:val="000000"/>
          <w:sz w:val="20"/>
          <w:szCs w:val="20"/>
        </w:rPr>
        <w:t xml:space="preserve">The 2009 Federal Budget: Challenge, Response and Retrospect, JDI Institute: 2009.</w:t>
      </w:r>
    </w:p>
    <w:p>
      <w:pPr>
        <w:spacing w:after="100"/>
      </w:pPr>
      <w:r>
        <w:rPr>
          <w:rFonts w:ascii="Arial" w:cs="Arial" w:eastAsia="Arial" w:hAnsi="Arial"/>
          <w:color w:val="000000"/>
          <w:sz w:val="20"/>
          <w:szCs w:val="20"/>
        </w:rPr>
        <w:t xml:space="preserve">The Shadow Economy, Tax Evasion and Social Norms: 2009.</w:t>
      </w:r>
    </w:p>
    <w:p>
      <w:pPr>
        <w:spacing w:after="100"/>
      </w:pPr>
      <w:r>
        <w:rPr>
          <w:rFonts w:ascii="Arial" w:cs="Arial" w:eastAsia="Arial" w:hAnsi="Arial"/>
          <w:color w:val="000000"/>
          <w:sz w:val="20"/>
          <w:szCs w:val="20"/>
        </w:rPr>
        <w:t xml:space="preserve">International Association for Time Use Research Meeting: 2007, 2008.</w:t>
      </w:r>
    </w:p>
    <w:p>
      <w:pPr>
        <w:spacing w:after="100"/>
      </w:pPr>
      <w:r>
        <w:rPr>
          <w:rFonts w:ascii="Arial" w:cs="Arial" w:eastAsia="Arial" w:hAnsi="Arial"/>
          <w:color w:val="000000"/>
          <w:sz w:val="20"/>
          <w:szCs w:val="20"/>
        </w:rPr>
        <w:t xml:space="preserve">Nonmarket Time in Economics, IZA Topic Week: 2007.</w:t>
      </w:r>
    </w:p>
    <w:p>
      <w:pPr>
        <w:spacing w:after="100"/>
      </w:pPr>
      <w:r>
        <w:rPr>
          <w:rFonts w:ascii="Arial" w:cs="Arial" w:eastAsia="Arial" w:hAnsi="Arial"/>
          <w:color w:val="000000"/>
          <w:sz w:val="20"/>
          <w:szCs w:val="20"/>
        </w:rPr>
        <w:t xml:space="preserve">American Economics Association Meeting: 2005.</w:t>
      </w:r>
    </w:p>
    <w:p>
      <w:pPr>
        <w:spacing w:after="100"/>
      </w:pPr>
      <w:r>
        <w:rPr>
          <w:rFonts w:ascii="Arial" w:cs="Arial" w:eastAsia="Arial" w:hAnsi="Arial"/>
          <w:color w:val="000000"/>
          <w:sz w:val="20"/>
          <w:szCs w:val="20"/>
        </w:rPr>
        <w:t xml:space="preserve">Statistics Canada Economic Conference: 1999, 2000.</w:t>
      </w:r>
    </w:p>
    <w:p>
      <w:pPr>
        <w:pBdr>
          <w:bottom w:val="single" w:color="AAAAAA" w:sz="6" w:space="4"/>
        </w:pBdr>
        <w:spacing w:after="120" w:before="240"/>
      </w:pPr>
      <w:r>
        <w:rPr>
          <w:rFonts w:ascii="Arial" w:cs="Arial" w:eastAsia="Arial" w:hAnsi="Arial"/>
          <w:b/>
          <w:bCs/>
          <w:color w:val="1F3864"/>
          <w:sz w:val="26"/>
          <w:szCs w:val="26"/>
        </w:rPr>
        <w:t xml:space="preserve">REFEREEING</w:t>
      </w:r>
    </w:p>
    <w:p>
      <w:pPr>
        <w:spacing w:after="80" w:before="160"/>
      </w:pPr>
      <w:r>
        <w:rPr>
          <w:rFonts w:ascii="Arial" w:cs="Arial" w:eastAsia="Arial" w:hAnsi="Arial"/>
          <w:b/>
          <w:bCs/>
          <w:color w:val="404040"/>
          <w:sz w:val="22"/>
          <w:szCs w:val="22"/>
        </w:rPr>
        <w:t xml:space="preserve">Journals</w:t>
      </w:r>
    </w:p>
    <w:p>
      <w:pPr>
        <w:spacing w:after="80"/>
        <w:ind w:left="360"/>
      </w:pPr>
      <w:r>
        <w:rPr>
          <w:rFonts w:ascii="Arial" w:cs="Arial" w:eastAsia="Arial" w:hAnsi="Arial"/>
          <w:color w:val="000000"/>
          <w:sz w:val="20"/>
          <w:szCs w:val="20"/>
        </w:rPr>
        <w:t xml:space="preserve">Campbell Collaboration; Canadian Tax Journal; Canadian Public Administration; Canadian Public Policy; Cogent Economics and Finance; Dalhousie Law Journal; Economic Inquiry; Economics Research International; Empirical Economics; European Journal of Political Economy; FinanzArchiv/Public Finance; Fiscal Studies; International Economics Journal; International Tax and Public Finance; Journal of Development Studies; Journal of Economic Psychology; Journal of Economic Surveys; Journal of International Trade and Economic Development; Journal of Macroeconomics; Journal of Poverty and Social Justice; Journal of Public Health Management &amp; Practice; Journal of Women, Politics &amp; Policy; Public Finance Review; School of Public Policy Publications; Small Business Economics; Social Sciences &amp; Humanities Open; The Journal of International Trade &amp; Economic Development.</w:t>
      </w:r>
    </w:p>
    <w:p>
      <w:pPr>
        <w:spacing w:after="80" w:before="160"/>
      </w:pPr>
      <w:r>
        <w:rPr>
          <w:rFonts w:ascii="Arial" w:cs="Arial" w:eastAsia="Arial" w:hAnsi="Arial"/>
          <w:b/>
          <w:bCs/>
          <w:color w:val="404040"/>
          <w:sz w:val="22"/>
          <w:szCs w:val="22"/>
        </w:rPr>
        <w:t xml:space="preserve">Funding Bodies</w:t>
      </w:r>
    </w:p>
    <w:p>
      <w:pPr>
        <w:spacing w:after="80"/>
        <w:ind w:left="360"/>
      </w:pPr>
      <w:r>
        <w:rPr>
          <w:rFonts w:ascii="Arial" w:cs="Arial" w:eastAsia="Arial" w:hAnsi="Arial"/>
          <w:color w:val="000000"/>
          <w:sz w:val="20"/>
          <w:szCs w:val="20"/>
        </w:rPr>
        <w:t xml:space="preserve">Mitacs; SSHRC Insight Grant; SSHRC New Frontiers in Research Fund Grant.</w:t>
      </w:r>
    </w:p>
    <w:p>
      <w:pPr>
        <w:spacing w:after="80" w:before="160"/>
      </w:pPr>
      <w:r>
        <w:rPr>
          <w:rFonts w:ascii="Arial" w:cs="Arial" w:eastAsia="Arial" w:hAnsi="Arial"/>
          <w:b/>
          <w:bCs/>
          <w:color w:val="404040"/>
          <w:sz w:val="22"/>
          <w:szCs w:val="22"/>
        </w:rPr>
        <w:t xml:space="preserve">Other</w:t>
      </w:r>
    </w:p>
    <w:p>
      <w:pPr>
        <w:spacing w:after="80"/>
        <w:ind w:left="360"/>
      </w:pPr>
      <w:r>
        <w:rPr>
          <w:rFonts w:ascii="Arial" w:cs="Arial" w:eastAsia="Arial" w:hAnsi="Arial"/>
          <w:color w:val="000000"/>
          <w:sz w:val="20"/>
          <w:szCs w:val="20"/>
        </w:rPr>
        <w:t xml:space="preserve">Ecofiscal Commission; Fraser Institute; Mowat Centre for Policy Innovation; SSHRC/Statistics Canada Research Data Centre; The Shadow Economy, Corruption and Governance (edited volume).</w:t>
      </w:r>
    </w:p>
    <w:p>
      <w:pPr>
        <w:pBdr>
          <w:bottom w:val="single" w:color="AAAAAA" w:sz="6" w:space="4"/>
        </w:pBdr>
        <w:spacing w:after="120" w:before="240"/>
      </w:pPr>
      <w:r>
        <w:rPr>
          <w:rFonts w:ascii="Arial" w:cs="Arial" w:eastAsia="Arial" w:hAnsi="Arial"/>
          <w:b/>
          <w:bCs/>
          <w:color w:val="1F3864"/>
          <w:sz w:val="26"/>
          <w:szCs w:val="26"/>
        </w:rPr>
        <w:t xml:space="preserve">TEACHING</w:t>
      </w:r>
    </w:p>
    <w:p>
      <w:pPr>
        <w:spacing w:after="80" w:before="160"/>
      </w:pPr>
      <w:r>
        <w:rPr>
          <w:rFonts w:ascii="Arial" w:cs="Arial" w:eastAsia="Arial" w:hAnsi="Arial"/>
          <w:b/>
          <w:bCs/>
          <w:color w:val="404040"/>
          <w:sz w:val="22"/>
          <w:szCs w:val="22"/>
        </w:rPr>
        <w:t xml:space="preserve">Courses Taught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Term</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Course</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Delivery</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Enrol</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w:t>
            </w:r>
          </w:p>
        </w:tc>
        <w:tc>
          <w:tcPr>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University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201: Principles of Microeconomics L01</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390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2026</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355: Canadian Public Finance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152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2026</w:t>
            </w:r>
          </w:p>
        </w:tc>
        <w:tc>
          <w:tcPr>
            <w:shd w:fill="FFFFFF" w:val="clear"/>
            <w:tcMar>
              <w:top w:type="dxa" w:w="80"/>
              <w:left w:type="dxa" w:w="120"/>
              <w:bottom w:type="dxa" w:w="80"/>
              <w:right w:type="dxa" w:w="120"/>
            </w:tcMar>
          </w:tcPr>
          <w:p>
            <w:r>
              <w:rPr>
                <w:rFonts w:ascii="Arial" w:cs="Arial" w:eastAsia="Arial" w:hAnsi="Arial"/>
                <w:sz w:val="17"/>
                <w:szCs w:val="17"/>
              </w:rPr>
              <w:t xml:space="preserve">Summer</w:t>
            </w:r>
          </w:p>
        </w:tc>
        <w:tc>
          <w:tcPr>
            <w:shd w:fill="FFFFFF"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80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2026</w:t>
            </w:r>
          </w:p>
        </w:tc>
        <w:tc>
          <w:tcPr>
            <w:shd w:fill="F5F5F5" w:val="clear"/>
            <w:tcMar>
              <w:top w:type="dxa" w:w="80"/>
              <w:left w:type="dxa" w:w="120"/>
              <w:bottom w:type="dxa" w:w="80"/>
              <w:right w:type="dxa" w:w="120"/>
            </w:tcMar>
          </w:tcPr>
          <w:p>
            <w:r>
              <w:rPr>
                <w:rFonts w:ascii="Arial" w:cs="Arial" w:eastAsia="Arial" w:hAnsi="Arial"/>
                <w:sz w:val="17"/>
                <w:szCs w:val="17"/>
              </w:rPr>
              <w:t xml:space="preserve">Spring</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2024</w:t>
            </w:r>
          </w:p>
        </w:tc>
        <w:tc>
          <w:tcPr>
            <w:shd w:fill="FFFFFF" w:val="clear"/>
            <w:tcMar>
              <w:top w:type="dxa" w:w="80"/>
              <w:left w:type="dxa" w:w="120"/>
              <w:bottom w:type="dxa" w:w="80"/>
              <w:right w:type="dxa" w:w="120"/>
            </w:tcMar>
          </w:tcPr>
          <w:p>
            <w:r>
              <w:rPr>
                <w:rFonts w:ascii="Arial" w:cs="Arial" w:eastAsia="Arial" w:hAnsi="Arial"/>
                <w:sz w:val="17"/>
                <w:szCs w:val="17"/>
              </w:rPr>
              <w:t xml:space="preserve">Spr/Sum</w:t>
            </w:r>
          </w:p>
        </w:tc>
        <w:tc>
          <w:tcPr>
            <w:shd w:fill="FFFFFF" w:val="clear"/>
            <w:tcMar>
              <w:top w:type="dxa" w:w="80"/>
              <w:left w:type="dxa" w:w="120"/>
              <w:bottom w:type="dxa" w:w="80"/>
              <w:right w:type="dxa" w:w="120"/>
            </w:tcMar>
          </w:tcPr>
          <w:p>
            <w:r>
              <w:rPr>
                <w:rFonts w:ascii="Arial" w:cs="Arial" w:eastAsia="Arial" w:hAnsi="Arial"/>
                <w:sz w:val="17"/>
                <w:szCs w:val="17"/>
              </w:rPr>
              <w:t xml:space="preserve">Econ 711: Microsimulation Modeling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1</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2024</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L03</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330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2024</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653: Public Revenue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8</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2023</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203: Principles of Macroeconomics L01</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88</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2023</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203: Principles of Macroeconomics L02</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55</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2022</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32</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2020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FFFFF" w:val="clear"/>
            <w:tcMar>
              <w:top w:type="dxa" w:w="80"/>
              <w:left w:type="dxa" w:w="120"/>
              <w:bottom w:type="dxa" w:w="80"/>
              <w:right w:type="dxa" w:w="120"/>
            </w:tcMar>
          </w:tcPr>
          <w:p>
            <w:r>
              <w:rPr>
                <w:rFonts w:ascii="Arial" w:cs="Arial" w:eastAsia="Arial" w:hAnsi="Arial"/>
                <w:sz w:val="17"/>
                <w:szCs w:val="17"/>
              </w:rPr>
              <w:t xml:space="preserve">Online (Pandemic)</w:t>
            </w:r>
          </w:p>
        </w:tc>
        <w:tc>
          <w:tcPr>
            <w:shd w:fill="FFFFFF" w:val="clear"/>
            <w:tcMar>
              <w:top w:type="dxa" w:w="80"/>
              <w:left w:type="dxa" w:w="120"/>
              <w:bottom w:type="dxa" w:w="80"/>
              <w:right w:type="dxa" w:w="120"/>
            </w:tcMar>
          </w:tcPr>
          <w:p>
            <w:r>
              <w:rPr>
                <w:rFonts w:ascii="Arial" w:cs="Arial" w:eastAsia="Arial" w:hAnsi="Arial"/>
                <w:sz w:val="17"/>
                <w:szCs w:val="17"/>
              </w:rPr>
              <w:t xml:space="preserve">40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2020</w:t>
            </w:r>
          </w:p>
        </w:tc>
        <w:tc>
          <w:tcPr>
            <w:shd w:fill="F5F5F5" w:val="clear"/>
            <w:tcMar>
              <w:top w:type="dxa" w:w="80"/>
              <w:left w:type="dxa" w:w="120"/>
              <w:bottom w:type="dxa" w:w="80"/>
              <w:right w:type="dxa" w:w="120"/>
            </w:tcMar>
          </w:tcPr>
          <w:p>
            <w:r>
              <w:rPr>
                <w:rFonts w:ascii="Arial" w:cs="Arial" w:eastAsia="Arial" w:hAnsi="Arial"/>
                <w:sz w:val="17"/>
                <w:szCs w:val="17"/>
              </w:rPr>
              <w:t xml:space="preserve">Summer</w:t>
            </w:r>
          </w:p>
        </w:tc>
        <w:tc>
          <w:tcPr>
            <w:shd w:fill="F5F5F5" w:val="clear"/>
            <w:tcMar>
              <w:top w:type="dxa" w:w="80"/>
              <w:left w:type="dxa" w:w="120"/>
              <w:bottom w:type="dxa" w:w="80"/>
              <w:right w:type="dxa" w:w="120"/>
            </w:tcMar>
          </w:tcPr>
          <w:p>
            <w:r>
              <w:rPr>
                <w:rFonts w:ascii="Arial" w:cs="Arial" w:eastAsia="Arial" w:hAnsi="Arial"/>
                <w:sz w:val="17"/>
                <w:szCs w:val="17"/>
              </w:rPr>
              <w:t xml:space="preserve">PPOL 601: Analytical Foundations</w:t>
            </w:r>
          </w:p>
        </w:tc>
        <w:tc>
          <w:tcPr>
            <w:shd w:fill="F5F5F5" w:val="clear"/>
            <w:tcMar>
              <w:top w:type="dxa" w:w="80"/>
              <w:left w:type="dxa" w:w="120"/>
              <w:bottom w:type="dxa" w:w="80"/>
              <w:right w:type="dxa" w:w="120"/>
            </w:tcMar>
          </w:tcPr>
          <w:p>
            <w:r>
              <w:rPr>
                <w:rFonts w:ascii="Arial" w:cs="Arial" w:eastAsia="Arial" w:hAnsi="Arial"/>
                <w:sz w:val="17"/>
                <w:szCs w:val="17"/>
              </w:rPr>
              <w:t xml:space="preserve">Online (Pandemic)</w:t>
            </w:r>
          </w:p>
        </w:tc>
        <w:tc>
          <w:tcPr>
            <w:shd w:fill="F5F5F5" w:val="clear"/>
            <w:tcMar>
              <w:top w:type="dxa" w:w="80"/>
              <w:left w:type="dxa" w:w="120"/>
              <w:bottom w:type="dxa" w:w="80"/>
              <w:right w:type="dxa" w:w="120"/>
            </w:tcMar>
          </w:tcPr>
          <w:p>
            <w:r>
              <w:rPr>
                <w:rFonts w:ascii="Arial" w:cs="Arial" w:eastAsia="Arial" w:hAnsi="Arial"/>
                <w:sz w:val="17"/>
                <w:szCs w:val="17"/>
              </w:rPr>
              <w:t xml:space="preserve">40</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2019</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PPOL 605: Markets and Public Policy</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38</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Calgary</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2019</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PPOL 611.20: Gender, Politics, and Public Policy</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6 (Cancelled)</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Calgary</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2018</w:t>
            </w:r>
          </w:p>
        </w:tc>
        <w:tc>
          <w:tcPr>
            <w:shd w:fill="FFFFFF" w:val="clear"/>
            <w:tcMar>
              <w:top w:type="dxa" w:w="80"/>
              <w:left w:type="dxa" w:w="120"/>
              <w:bottom w:type="dxa" w:w="80"/>
              <w:right w:type="dxa" w:w="120"/>
            </w:tcMar>
          </w:tcPr>
          <w:p>
            <w:r>
              <w:rPr>
                <w:rFonts w:ascii="Arial" w:cs="Arial" w:eastAsia="Arial" w:hAnsi="Arial"/>
                <w:sz w:val="17"/>
                <w:szCs w:val="17"/>
              </w:rPr>
              <w:t xml:space="preserve">Nov</w:t>
            </w:r>
          </w:p>
        </w:tc>
        <w:tc>
          <w:tcPr>
            <w:shd w:fill="FFFFFF" w:val="clear"/>
            <w:tcMar>
              <w:top w:type="dxa" w:w="80"/>
              <w:left w:type="dxa" w:w="120"/>
              <w:bottom w:type="dxa" w:w="80"/>
              <w:right w:type="dxa" w:w="120"/>
            </w:tcMar>
          </w:tcPr>
          <w:p>
            <w:r>
              <w:rPr>
                <w:rFonts w:ascii="Arial" w:cs="Arial" w:eastAsia="Arial" w:hAnsi="Arial"/>
                <w:sz w:val="17"/>
                <w:szCs w:val="17"/>
              </w:rPr>
              <w:t xml:space="preserve">Ecofiscal Municipal Course—Webinar Module 4: Solid Waste</w:t>
            </w:r>
          </w:p>
        </w:tc>
        <w:tc>
          <w:tcPr>
            <w:shd w:fill="FFFFFF" w:val="clear"/>
            <w:tcMar>
              <w:top w:type="dxa" w:w="80"/>
              <w:left w:type="dxa" w:w="120"/>
              <w:bottom w:type="dxa" w:w="80"/>
              <w:right w:type="dxa" w:w="120"/>
            </w:tcMar>
          </w:tcPr>
          <w:p>
            <w:r>
              <w:rPr>
                <w:rFonts w:ascii="Arial" w:cs="Arial" w:eastAsia="Arial" w:hAnsi="Arial"/>
                <w:sz w:val="17"/>
                <w:szCs w:val="17"/>
              </w:rPr>
              <w:t xml:space="preserve">Webinar</w:t>
            </w:r>
          </w:p>
        </w:tc>
        <w:tc>
          <w:tcPr>
            <w:shd w:fill="FFFFFF" w:val="clear"/>
            <w:tcMar>
              <w:top w:type="dxa" w:w="80"/>
              <w:left w:type="dxa" w:w="120"/>
              <w:bottom w:type="dxa" w:w="80"/>
              <w:right w:type="dxa" w:w="120"/>
            </w:tcMar>
          </w:tcPr>
          <w:p>
            <w:r>
              <w:rPr>
                <w:rFonts w:ascii="Arial" w:cs="Arial" w:eastAsia="Arial" w:hAnsi="Arial"/>
                <w:sz w:val="17"/>
                <w:szCs w:val="17"/>
              </w:rPr>
              <w:t xml:space="preserve">52</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2017</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26</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2015</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20</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2015</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19</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2014</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Microeconomics for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19</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2013</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23</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2013</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22</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2012</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2012</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8</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2010</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5F5F5" w:val="clear"/>
            <w:tcMar>
              <w:top w:type="dxa" w:w="80"/>
              <w:left w:type="dxa" w:w="120"/>
              <w:bottom w:type="dxa" w:w="80"/>
              <w:right w:type="dxa" w:w="120"/>
            </w:tcMar>
          </w:tcPr>
          <w:p>
            <w:r>
              <w:rPr>
                <w:rFonts w:ascii="Arial" w:cs="Arial" w:eastAsia="Arial" w:hAnsi="Arial"/>
                <w:sz w:val="17"/>
                <w:szCs w:val="17"/>
              </w:rPr>
              <w:t xml:space="preserve">Online</w:t>
            </w:r>
          </w:p>
        </w:tc>
        <w:tc>
          <w:tcPr>
            <w:shd w:fill="F5F5F5" w:val="clear"/>
            <w:tcMar>
              <w:top w:type="dxa" w:w="80"/>
              <w:left w:type="dxa" w:w="120"/>
              <w:bottom w:type="dxa" w:w="80"/>
              <w:right w:type="dxa" w:w="120"/>
            </w:tcMar>
          </w:tcPr>
          <w:p>
            <w:r>
              <w:rPr>
                <w:rFonts w:ascii="Arial" w:cs="Arial" w:eastAsia="Arial" w:hAnsi="Arial"/>
                <w:sz w:val="17"/>
                <w:szCs w:val="17"/>
              </w:rPr>
              <w:t xml:space="preserve">13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509: Public Sector Economics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22</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2010</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9</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2010</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20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2009</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5F5F5" w:val="clear"/>
            <w:tcMar>
              <w:top w:type="dxa" w:w="80"/>
              <w:left w:type="dxa" w:w="120"/>
              <w:bottom w:type="dxa" w:w="80"/>
              <w:right w:type="dxa" w:w="120"/>
            </w:tcMar>
          </w:tcPr>
          <w:p>
            <w:r>
              <w:rPr>
                <w:rFonts w:ascii="Arial" w:cs="Arial" w:eastAsia="Arial" w:hAnsi="Arial"/>
                <w:sz w:val="17"/>
                <w:szCs w:val="17"/>
              </w:rPr>
              <w:t xml:space="preserve">Hybrid</w:t>
            </w:r>
          </w:p>
        </w:tc>
        <w:tc>
          <w:tcPr>
            <w:shd w:fill="F5F5F5" w:val="clear"/>
            <w:tcMar>
              <w:top w:type="dxa" w:w="80"/>
              <w:left w:type="dxa" w:w="120"/>
              <w:bottom w:type="dxa" w:w="80"/>
              <w:right w:type="dxa" w:w="120"/>
            </w:tcMar>
          </w:tcPr>
          <w:p>
            <w:r>
              <w:rPr>
                <w:rFonts w:ascii="Arial" w:cs="Arial" w:eastAsia="Arial" w:hAnsi="Arial"/>
                <w:sz w:val="17"/>
                <w:szCs w:val="17"/>
              </w:rPr>
              <w:t xml:space="preserve">12</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2009</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20</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2009</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24</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2008</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ADMN 518: Economic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Hybrid</w:t>
            </w:r>
          </w:p>
        </w:tc>
        <w:tc>
          <w:tcPr>
            <w:shd w:fill="FFFFFF" w:val="clear"/>
            <w:tcMar>
              <w:top w:type="dxa" w:w="80"/>
              <w:left w:type="dxa" w:w="120"/>
              <w:bottom w:type="dxa" w:w="80"/>
              <w:right w:type="dxa" w:w="120"/>
            </w:tcMar>
          </w:tcPr>
          <w:p>
            <w:r>
              <w:rPr>
                <w:rFonts w:ascii="Arial" w:cs="Arial" w:eastAsia="Arial" w:hAnsi="Arial"/>
                <w:sz w:val="17"/>
                <w:szCs w:val="17"/>
              </w:rPr>
              <w:t xml:space="preserve">9</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2008</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34</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2008</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ADMN 503: Economic Policy Analysis</w:t>
            </w:r>
          </w:p>
        </w:tc>
        <w:tc>
          <w:tcPr>
            <w:shd w:fill="FFFFFF" w:val="clear"/>
            <w:tcMar>
              <w:top w:type="dxa" w:w="80"/>
              <w:left w:type="dxa" w:w="120"/>
              <w:bottom w:type="dxa" w:w="80"/>
              <w:right w:type="dxa" w:w="120"/>
            </w:tcMar>
          </w:tcPr>
          <w:p>
            <w:r>
              <w:rPr>
                <w:rFonts w:ascii="Arial" w:cs="Arial" w:eastAsia="Arial" w:hAnsi="Arial"/>
                <w:sz w:val="17"/>
                <w:szCs w:val="17"/>
              </w:rPr>
              <w:t xml:space="preserve">Online</w:t>
            </w:r>
          </w:p>
        </w:tc>
        <w:tc>
          <w:tcPr>
            <w:shd w:fill="FFFFFF" w:val="clear"/>
            <w:tcMar>
              <w:top w:type="dxa" w:w="80"/>
              <w:left w:type="dxa" w:w="120"/>
              <w:bottom w:type="dxa" w:w="80"/>
              <w:right w:type="dxa" w:w="120"/>
            </w:tcMar>
          </w:tcPr>
          <w:p>
            <w:r>
              <w:rPr>
                <w:rFonts w:ascii="Arial" w:cs="Arial" w:eastAsia="Arial" w:hAnsi="Arial"/>
                <w:sz w:val="17"/>
                <w:szCs w:val="17"/>
              </w:rPr>
              <w:t xml:space="preserve">4</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2007</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ADMN 502A: Research Design–Critical Appraisal</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28</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Victoria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2007</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4130: Seminar in Econometrics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21</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2007</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3180: Introduction to Econometrics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43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2006</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3170: Introduction to Quantitative Methods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2006</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1200: Principles of Economics (Micro)</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120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2006</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4130: Seminar in Econometrics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43</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2006</w:t>
            </w:r>
          </w:p>
        </w:tc>
        <w:tc>
          <w:tcPr>
            <w:shd w:fill="F5F5F5" w:val="clear"/>
            <w:tcMar>
              <w:top w:type="dxa" w:w="80"/>
              <w:left w:type="dxa" w:w="120"/>
              <w:bottom w:type="dxa" w:w="80"/>
              <w:right w:type="dxa" w:w="120"/>
            </w:tcMar>
          </w:tcPr>
          <w:p>
            <w:r>
              <w:rPr>
                <w:rFonts w:ascii="Arial" w:cs="Arial" w:eastAsia="Arial" w:hAnsi="Arial"/>
                <w:sz w:val="17"/>
                <w:szCs w:val="17"/>
              </w:rPr>
              <w:t xml:space="preserve">Winter</w:t>
            </w:r>
          </w:p>
        </w:tc>
        <w:tc>
          <w:tcPr>
            <w:shd w:fill="F5F5F5" w:val="clear"/>
            <w:tcMar>
              <w:top w:type="dxa" w:w="80"/>
              <w:left w:type="dxa" w:w="120"/>
              <w:bottom w:type="dxa" w:w="80"/>
              <w:right w:type="dxa" w:w="120"/>
            </w:tcMar>
          </w:tcPr>
          <w:p>
            <w:r>
              <w:rPr>
                <w:rFonts w:ascii="Arial" w:cs="Arial" w:eastAsia="Arial" w:hAnsi="Arial"/>
                <w:sz w:val="17"/>
                <w:szCs w:val="17"/>
              </w:rPr>
              <w:t xml:space="preserve">ECON 3180: Introduction to Econometrics</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43</w:t>
            </w:r>
          </w:p>
        </w:tc>
        <w:tc>
          <w:tcPr>
            <w:shd w:fill="F5F5F5" w:val="clear"/>
            <w:tcMar>
              <w:top w:type="dxa" w:w="80"/>
              <w:left w:type="dxa" w:w="120"/>
              <w:bottom w:type="dxa" w:w="80"/>
              <w:right w:type="dxa" w:w="120"/>
            </w:tcMar>
          </w:tcPr>
          <w:p>
            <w:r>
              <w:rPr>
                <w:rFonts w:ascii="Arial" w:cs="Arial" w:eastAsia="Arial" w:hAnsi="Arial"/>
                <w:sz w:val="17"/>
                <w:szCs w:val="17"/>
              </w:rPr>
              <w:t xml:space="preserve">No</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2005</w:t>
            </w:r>
          </w:p>
        </w:tc>
        <w:tc>
          <w:tcPr>
            <w:shd w:fill="FFFFFF" w:val="clear"/>
            <w:tcMar>
              <w:top w:type="dxa" w:w="80"/>
              <w:left w:type="dxa" w:w="120"/>
              <w:bottom w:type="dxa" w:w="80"/>
              <w:right w:type="dxa" w:w="120"/>
            </w:tcMar>
          </w:tcPr>
          <w:p>
            <w:r>
              <w:rPr>
                <w:rFonts w:ascii="Arial" w:cs="Arial" w:eastAsia="Arial" w:hAnsi="Arial"/>
                <w:sz w:val="17"/>
                <w:szCs w:val="17"/>
              </w:rPr>
              <w:t xml:space="preserve">Fall</w:t>
            </w:r>
          </w:p>
        </w:tc>
        <w:tc>
          <w:tcPr>
            <w:shd w:fill="FFFFFF" w:val="clear"/>
            <w:tcMar>
              <w:top w:type="dxa" w:w="80"/>
              <w:left w:type="dxa" w:w="120"/>
              <w:bottom w:type="dxa" w:w="80"/>
              <w:right w:type="dxa" w:w="120"/>
            </w:tcMar>
          </w:tcPr>
          <w:p>
            <w:r>
              <w:rPr>
                <w:rFonts w:ascii="Arial" w:cs="Arial" w:eastAsia="Arial" w:hAnsi="Arial"/>
                <w:sz w:val="17"/>
                <w:szCs w:val="17"/>
              </w:rPr>
              <w:t xml:space="preserve">ECON 3170: Introduction to Quantitative Methods</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90</w:t>
            </w:r>
          </w:p>
        </w:tc>
        <w:tc>
          <w:tcPr>
            <w:shd w:fill="FFFFFF" w:val="clear"/>
            <w:tcMar>
              <w:top w:type="dxa" w:w="80"/>
              <w:left w:type="dxa" w:w="120"/>
              <w:bottom w:type="dxa" w:w="80"/>
              <w:right w:type="dxa" w:w="120"/>
            </w:tcMar>
          </w:tcPr>
          <w:p>
            <w:r>
              <w:rPr>
                <w:rFonts w:ascii="Arial" w:cs="Arial" w:eastAsia="Arial" w:hAnsi="Arial"/>
                <w:sz w:val="17"/>
                <w:szCs w:val="17"/>
              </w:rPr>
              <w:t xml:space="preserve">Yes</w:t>
            </w:r>
          </w:p>
        </w:tc>
        <w:tc>
          <w:tcPr>
            <w:shd w:fill="FFFFFF"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5F5F5" w:val="clear"/>
            <w:tcMar>
              <w:top w:type="dxa" w:w="80"/>
              <w:left w:type="dxa" w:w="120"/>
              <w:bottom w:type="dxa" w:w="80"/>
              <w:right w:type="dxa" w:w="120"/>
            </w:tcMar>
          </w:tcPr>
          <w:p>
            <w:r>
              <w:rPr>
                <w:rFonts w:ascii="Arial" w:cs="Arial" w:eastAsia="Arial" w:hAnsi="Arial"/>
                <w:sz w:val="17"/>
                <w:szCs w:val="17"/>
              </w:rPr>
              <w:t xml:space="preserve">2005</w:t>
            </w:r>
          </w:p>
        </w:tc>
        <w:tc>
          <w:tcPr>
            <w:shd w:fill="F5F5F5" w:val="clear"/>
            <w:tcMar>
              <w:top w:type="dxa" w:w="80"/>
              <w:left w:type="dxa" w:w="120"/>
              <w:bottom w:type="dxa" w:w="80"/>
              <w:right w:type="dxa" w:w="120"/>
            </w:tcMar>
          </w:tcPr>
          <w:p>
            <w:r>
              <w:rPr>
                <w:rFonts w:ascii="Arial" w:cs="Arial" w:eastAsia="Arial" w:hAnsi="Arial"/>
                <w:sz w:val="17"/>
                <w:szCs w:val="17"/>
              </w:rPr>
              <w:t xml:space="preserve">Fall</w:t>
            </w:r>
          </w:p>
        </w:tc>
        <w:tc>
          <w:tcPr>
            <w:shd w:fill="F5F5F5" w:val="clear"/>
            <w:tcMar>
              <w:top w:type="dxa" w:w="80"/>
              <w:left w:type="dxa" w:w="120"/>
              <w:bottom w:type="dxa" w:w="80"/>
              <w:right w:type="dxa" w:w="120"/>
            </w:tcMar>
          </w:tcPr>
          <w:p>
            <w:r>
              <w:rPr>
                <w:rFonts w:ascii="Arial" w:cs="Arial" w:eastAsia="Arial" w:hAnsi="Arial"/>
                <w:sz w:val="17"/>
                <w:szCs w:val="17"/>
              </w:rPr>
              <w:t xml:space="preserve">ECON 1200: Principles of Economics (Micro)</w:t>
            </w:r>
          </w:p>
        </w:tc>
        <w:tc>
          <w:tcPr>
            <w:shd w:fill="F5F5F5" w:val="clear"/>
            <w:tcMar>
              <w:top w:type="dxa" w:w="80"/>
              <w:left w:type="dxa" w:w="120"/>
              <w:bottom w:type="dxa" w:w="80"/>
              <w:right w:type="dxa" w:w="120"/>
            </w:tcMar>
          </w:tcPr>
          <w:p>
            <w:r>
              <w:rPr>
                <w:rFonts w:ascii="Arial" w:cs="Arial" w:eastAsia="Arial" w:hAnsi="Arial"/>
                <w:sz w:val="17"/>
                <w:szCs w:val="17"/>
              </w:rPr>
              <w:t xml:space="preserve">Campus</w:t>
            </w:r>
          </w:p>
        </w:tc>
        <w:tc>
          <w:tcPr>
            <w:shd w:fill="F5F5F5" w:val="clear"/>
            <w:tcMar>
              <w:top w:type="dxa" w:w="80"/>
              <w:left w:type="dxa" w:w="120"/>
              <w:bottom w:type="dxa" w:w="80"/>
              <w:right w:type="dxa" w:w="120"/>
            </w:tcMar>
          </w:tcPr>
          <w:p>
            <w:r>
              <w:rPr>
                <w:rFonts w:ascii="Arial" w:cs="Arial" w:eastAsia="Arial" w:hAnsi="Arial"/>
                <w:sz w:val="17"/>
                <w:szCs w:val="17"/>
              </w:rPr>
              <w:t xml:space="preserve">120</w:t>
            </w:r>
          </w:p>
        </w:tc>
        <w:tc>
          <w:tcPr>
            <w:shd w:fill="F5F5F5" w:val="clear"/>
            <w:tcMar>
              <w:top w:type="dxa" w:w="80"/>
              <w:left w:type="dxa" w:w="120"/>
              <w:bottom w:type="dxa" w:w="80"/>
              <w:right w:type="dxa" w:w="120"/>
            </w:tcMar>
          </w:tcPr>
          <w:p>
            <w:r>
              <w:rPr>
                <w:rFonts w:ascii="Arial" w:cs="Arial" w:eastAsia="Arial" w:hAnsi="Arial"/>
                <w:sz w:val="17"/>
                <w:szCs w:val="17"/>
              </w:rPr>
              <w:t xml:space="preserve">Yes</w:t>
            </w:r>
          </w:p>
        </w:tc>
        <w:tc>
          <w:tcPr>
            <w:shd w:fill="F5F5F5" w:val="clear"/>
            <w:tcMar>
              <w:top w:type="dxa" w:w="80"/>
              <w:left w:type="dxa" w:w="120"/>
              <w:bottom w:type="dxa" w:w="80"/>
              <w:right w:type="dxa" w:w="120"/>
            </w:tcMar>
          </w:tcPr>
          <w:p>
            <w:r>
              <w:rPr>
                <w:rFonts w:ascii="Arial" w:cs="Arial" w:eastAsia="Arial" w:hAnsi="Arial"/>
                <w:sz w:val="17"/>
                <w:szCs w:val="17"/>
              </w:rPr>
              <w:t xml:space="preserve">Manitoba</w:t>
            </w:r>
          </w:p>
        </w:tc>
      </w:tr>
      <w:tr>
        <w:tc>
          <w:tcPr>
            <w:shd w:fill="FFFFFF" w:val="clear"/>
            <w:tcMar>
              <w:top w:type="dxa" w:w="80"/>
              <w:left w:type="dxa" w:w="120"/>
              <w:bottom w:type="dxa" w:w="80"/>
              <w:right w:type="dxa" w:w="120"/>
            </w:tcMar>
          </w:tcPr>
          <w:p>
            <w:r>
              <w:rPr>
                <w:rFonts w:ascii="Arial" w:cs="Arial" w:eastAsia="Arial" w:hAnsi="Arial"/>
                <w:sz w:val="17"/>
                <w:szCs w:val="17"/>
              </w:rPr>
              <w:t xml:space="preserve">2005</w:t>
            </w:r>
          </w:p>
        </w:tc>
        <w:tc>
          <w:tcPr>
            <w:shd w:fill="FFFFFF" w:val="clear"/>
            <w:tcMar>
              <w:top w:type="dxa" w:w="80"/>
              <w:left w:type="dxa" w:w="120"/>
              <w:bottom w:type="dxa" w:w="80"/>
              <w:right w:type="dxa" w:w="120"/>
            </w:tcMar>
          </w:tcPr>
          <w:p>
            <w:r>
              <w:rPr>
                <w:rFonts w:ascii="Arial" w:cs="Arial" w:eastAsia="Arial" w:hAnsi="Arial"/>
                <w:sz w:val="17"/>
                <w:szCs w:val="17"/>
              </w:rPr>
              <w:t xml:space="preserve">Winter</w:t>
            </w:r>
          </w:p>
        </w:tc>
        <w:tc>
          <w:tcPr>
            <w:shd w:fill="FFFFFF" w:val="clear"/>
            <w:tcMar>
              <w:top w:type="dxa" w:w="80"/>
              <w:left w:type="dxa" w:w="120"/>
              <w:bottom w:type="dxa" w:w="80"/>
              <w:right w:type="dxa" w:w="120"/>
            </w:tcMar>
          </w:tcPr>
          <w:p>
            <w:r>
              <w:rPr>
                <w:rFonts w:ascii="Arial" w:cs="Arial" w:eastAsia="Arial" w:hAnsi="Arial"/>
                <w:sz w:val="17"/>
                <w:szCs w:val="17"/>
              </w:rPr>
              <w:t xml:space="preserve">ECON 4A03: Honours Seminar: Public Economics &amp; Policy</w:t>
            </w:r>
          </w:p>
        </w:tc>
        <w:tc>
          <w:tcPr>
            <w:shd w:fill="FFFFFF" w:val="clear"/>
            <w:tcMar>
              <w:top w:type="dxa" w:w="80"/>
              <w:left w:type="dxa" w:w="120"/>
              <w:bottom w:type="dxa" w:w="80"/>
              <w:right w:type="dxa" w:w="120"/>
            </w:tcMar>
          </w:tcPr>
          <w:p>
            <w:r>
              <w:rPr>
                <w:rFonts w:ascii="Arial" w:cs="Arial" w:eastAsia="Arial" w:hAnsi="Arial"/>
                <w:sz w:val="17"/>
                <w:szCs w:val="17"/>
              </w:rPr>
              <w:t xml:space="preserve">Campus</w:t>
            </w:r>
          </w:p>
        </w:tc>
        <w:tc>
          <w:tcPr>
            <w:shd w:fill="FFFFFF" w:val="clear"/>
            <w:tcMar>
              <w:top w:type="dxa" w:w="80"/>
              <w:left w:type="dxa" w:w="120"/>
              <w:bottom w:type="dxa" w:w="80"/>
              <w:right w:type="dxa" w:w="120"/>
            </w:tcMar>
          </w:tcPr>
          <w:p>
            <w:r>
              <w:rPr>
                <w:rFonts w:ascii="Arial" w:cs="Arial" w:eastAsia="Arial" w:hAnsi="Arial"/>
                <w:sz w:val="17"/>
                <w:szCs w:val="17"/>
              </w:rPr>
              <w:t xml:space="preserve">15</w:t>
            </w:r>
          </w:p>
        </w:tc>
        <w:tc>
          <w:tcPr>
            <w:shd w:fill="FFFFFF" w:val="clear"/>
            <w:tcMar>
              <w:top w:type="dxa" w:w="80"/>
              <w:left w:type="dxa" w:w="120"/>
              <w:bottom w:type="dxa" w:w="80"/>
              <w:right w:type="dxa" w:w="120"/>
            </w:tcMar>
          </w:tcPr>
          <w:p>
            <w:r>
              <w:rPr>
                <w:rFonts w:ascii="Arial" w:cs="Arial" w:eastAsia="Arial" w:hAnsi="Arial"/>
                <w:sz w:val="17"/>
                <w:szCs w:val="17"/>
              </w:rPr>
              <w:t xml:space="preserve">No</w:t>
            </w:r>
          </w:p>
        </w:tc>
        <w:tc>
          <w:tcPr>
            <w:shd w:fill="FFFFFF" w:val="clear"/>
            <w:tcMar>
              <w:top w:type="dxa" w:w="80"/>
              <w:left w:type="dxa" w:w="120"/>
              <w:bottom w:type="dxa" w:w="80"/>
              <w:right w:type="dxa" w:w="120"/>
            </w:tcMar>
          </w:tcPr>
          <w:p>
            <w:r>
              <w:rPr>
                <w:rFonts w:ascii="Arial" w:cs="Arial" w:eastAsia="Arial" w:hAnsi="Arial"/>
                <w:sz w:val="17"/>
                <w:szCs w:val="17"/>
              </w:rPr>
              <w:t xml:space="preserve">McMaster</w:t>
            </w:r>
          </w:p>
        </w:tc>
      </w:tr>
    </w:tbl>
    <w:p>
      <w:pPr>
        <w:spacing w:after="160"/>
      </w:pPr>
    </w:p>
    <w:p>
      <w:pPr>
        <w:spacing w:after="80" w:before="160"/>
      </w:pPr>
      <w:r>
        <w:rPr>
          <w:rFonts w:ascii="Arial" w:cs="Arial" w:eastAsia="Arial" w:hAnsi="Arial"/>
          <w:b/>
          <w:bCs/>
          <w:color w:val="404040"/>
          <w:sz w:val="22"/>
          <w:szCs w:val="22"/>
        </w:rPr>
        <w:t xml:space="preserve">Graduate Student Supervision</w:t>
      </w:r>
    </w:p>
    <w:p>
      <w:pPr>
        <w:spacing w:after="80" w:before="100"/>
      </w:pPr>
      <w:r>
        <w:rPr>
          <w:rFonts w:ascii="Arial" w:cs="Arial" w:eastAsia="Arial" w:hAnsi="Arial"/>
          <w:b/>
          <w:bCs/>
          <w:i/>
          <w:iCs/>
          <w:sz w:val="20"/>
          <w:szCs w:val="20"/>
        </w:rPr>
        <w:t xml:space="preserve">PhD Students</w:t>
      </w:r>
    </w:p>
    <w:p>
      <w:pPr>
        <w:tabs>
          <w:tab w:val="left" w:pos="1800"/>
        </w:tabs>
        <w:spacing w:after="100"/>
        <w:ind w:left="1800" w:hanging="1440"/>
      </w:pPr>
      <w:r>
        <w:rPr>
          <w:rFonts w:ascii="Arial" w:cs="Arial" w:eastAsia="Arial" w:hAnsi="Arial"/>
          <w:b/>
          <w:bCs/>
          <w:sz w:val="20"/>
          <w:szCs w:val="20"/>
        </w:rPr>
        <w:t xml:space="preserve">2023–present</w:t>
      </w:r>
      <w:r>
        <w:rPr>
          <w:rFonts w:ascii="Arial" w:cs="Arial" w:eastAsia="Arial" w:hAnsi="Arial"/>
          <w:sz w:val="20"/>
          <w:szCs w:val="20"/>
        </w:rPr>
        <w:t xml:space="preserve">	</w:t>
      </w:r>
      <w:r>
        <w:rPr>
          <w:rFonts w:ascii="Arial" w:cs="Arial" w:eastAsia="Arial" w:hAnsi="Arial"/>
          <w:b/>
          <w:bCs/>
          <w:color w:val="000000"/>
          <w:sz w:val="20"/>
          <w:szCs w:val="20"/>
        </w:rPr>
        <w:t xml:space="preserve">Selvia Arshad</w:t>
      </w:r>
      <w:r>
        <w:rPr>
          <w:rFonts w:ascii="Arial" w:cs="Arial" w:eastAsia="Arial" w:hAnsi="Arial"/>
          <w:color w:val="000000"/>
          <w:sz w:val="20"/>
          <w:szCs w:val="20"/>
        </w:rPr>
        <w:t xml:space="preserve"> (Economics, University of Calgary)</w:t>
      </w:r>
    </w:p>
    <w:p>
      <w:pPr>
        <w:tabs>
          <w:tab w:val="left" w:pos="1800"/>
        </w:tabs>
        <w:spacing w:after="100"/>
        <w:ind w:left="1800" w:hanging="1440"/>
      </w:pPr>
      <w:r>
        <w:rPr>
          <w:rFonts w:ascii="Arial" w:cs="Arial" w:eastAsia="Arial" w:hAnsi="Arial"/>
          <w:b/>
          <w:bCs/>
          <w:sz w:val="20"/>
          <w:szCs w:val="20"/>
        </w:rPr>
        <w:t xml:space="preserve">2019–2022</w:t>
      </w:r>
      <w:r>
        <w:rPr>
          <w:rFonts w:ascii="Arial" w:cs="Arial" w:eastAsia="Arial" w:hAnsi="Arial"/>
          <w:sz w:val="20"/>
          <w:szCs w:val="20"/>
        </w:rPr>
        <w:t xml:space="preserve">	</w:t>
      </w:r>
      <w:r>
        <w:rPr>
          <w:rFonts w:ascii="Arial" w:cs="Arial" w:eastAsia="Arial" w:hAnsi="Arial"/>
          <w:color w:val="000000"/>
          <w:sz w:val="20"/>
          <w:szCs w:val="20"/>
        </w:rPr>
        <w:t xml:space="preserve">Gillian Petit (Economics, University of Calgary)</w:t>
      </w:r>
    </w:p>
    <w:p>
      <w:pPr>
        <w:tabs>
          <w:tab w:val="left" w:pos="1800"/>
        </w:tabs>
        <w:spacing w:after="100"/>
        <w:ind w:left="1800" w:hanging="1440"/>
      </w:pPr>
      <w:r>
        <w:rPr>
          <w:rFonts w:ascii="Arial" w:cs="Arial" w:eastAsia="Arial" w:hAnsi="Arial"/>
          <w:b/>
          <w:bCs/>
          <w:sz w:val="20"/>
          <w:szCs w:val="20"/>
        </w:rPr>
        <w:t xml:space="preserve">2006–2009</w:t>
      </w:r>
      <w:r>
        <w:rPr>
          <w:rFonts w:ascii="Arial" w:cs="Arial" w:eastAsia="Arial" w:hAnsi="Arial"/>
          <w:sz w:val="20"/>
          <w:szCs w:val="20"/>
        </w:rPr>
        <w:t xml:space="preserve">	</w:t>
      </w:r>
      <w:r>
        <w:rPr>
          <w:rFonts w:ascii="Arial" w:cs="Arial" w:eastAsia="Arial" w:hAnsi="Arial"/>
          <w:color w:val="000000"/>
          <w:sz w:val="20"/>
          <w:szCs w:val="20"/>
        </w:rPr>
        <w:t xml:space="preserve">Adian McFarlane (Economics, University of Manitoba)</w:t>
      </w:r>
    </w:p>
    <w:p>
      <w:pPr>
        <w:spacing w:after="80" w:before="100"/>
      </w:pPr>
      <w:r>
        <w:rPr>
          <w:rFonts w:ascii="Arial" w:cs="Arial" w:eastAsia="Arial" w:hAnsi="Arial"/>
          <w:b/>
          <w:bCs/>
          <w:i/>
          <w:iCs/>
          <w:sz w:val="20"/>
          <w:szCs w:val="20"/>
        </w:rPr>
        <w:t xml:space="preserve">Master's Students</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Karina Miramon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Jasmine Lapina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Tomi Ajele (MPP,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Aben Nyah (MPP, University of Calgary)</w:t>
      </w:r>
    </w:p>
    <w:p>
      <w:pPr>
        <w:tabs>
          <w:tab w:val="left" w:pos="1800"/>
        </w:tabs>
        <w:spacing w:after="100"/>
        <w:ind w:left="1800" w:hanging="1440"/>
      </w:pPr>
      <w:r>
        <w:rPr>
          <w:rFonts w:ascii="Arial" w:cs="Arial" w:eastAsia="Arial" w:hAnsi="Arial"/>
          <w:b/>
          <w:bCs/>
          <w:sz w:val="20"/>
          <w:szCs w:val="20"/>
        </w:rPr>
        <w:t xml:space="preserve">2021</w:t>
      </w:r>
      <w:r>
        <w:rPr>
          <w:rFonts w:ascii="Arial" w:cs="Arial" w:eastAsia="Arial" w:hAnsi="Arial"/>
          <w:sz w:val="20"/>
          <w:szCs w:val="20"/>
        </w:rPr>
        <w:t xml:space="preserve">	</w:t>
      </w:r>
      <w:r>
        <w:rPr>
          <w:rFonts w:ascii="Arial" w:cs="Arial" w:eastAsia="Arial" w:hAnsi="Arial"/>
          <w:color w:val="000000"/>
          <w:sz w:val="20"/>
          <w:szCs w:val="20"/>
        </w:rPr>
        <w:t xml:space="preserve">Kayla Doody (MPP, University of Calgary)</w:t>
      </w:r>
    </w:p>
    <w:p>
      <w:pPr>
        <w:tabs>
          <w:tab w:val="left" w:pos="1800"/>
        </w:tabs>
        <w:spacing w:after="100"/>
        <w:ind w:left="1800" w:hanging="1440"/>
      </w:pPr>
      <w:r>
        <w:rPr>
          <w:rFonts w:ascii="Arial" w:cs="Arial" w:eastAsia="Arial" w:hAnsi="Arial"/>
          <w:b/>
          <w:bCs/>
          <w:sz w:val="20"/>
          <w:szCs w:val="20"/>
        </w:rPr>
        <w:t xml:space="preserve">2020–2021</w:t>
      </w:r>
      <w:r>
        <w:rPr>
          <w:rFonts w:ascii="Arial" w:cs="Arial" w:eastAsia="Arial" w:hAnsi="Arial"/>
          <w:sz w:val="20"/>
          <w:szCs w:val="20"/>
        </w:rPr>
        <w:t xml:space="preserve">	</w:t>
      </w:r>
      <w:r>
        <w:rPr>
          <w:rFonts w:ascii="Arial" w:cs="Arial" w:eastAsia="Arial" w:hAnsi="Arial"/>
          <w:color w:val="000000"/>
          <w:sz w:val="20"/>
          <w:szCs w:val="20"/>
        </w:rPr>
        <w:t xml:space="preserve">Bill Yang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Dana Van Baren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Jasmine Mian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Joseph Calnan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color w:val="000000"/>
          <w:sz w:val="20"/>
          <w:szCs w:val="20"/>
        </w:rPr>
        <w:t xml:space="preserve">Taylor Berezowski (MPP, University of Calgary)</w:t>
      </w:r>
    </w:p>
    <w:p>
      <w:pPr>
        <w:tabs>
          <w:tab w:val="left" w:pos="1800"/>
        </w:tabs>
        <w:spacing w:after="100"/>
        <w:ind w:left="1800" w:hanging="1440"/>
      </w:pPr>
      <w:r>
        <w:rPr>
          <w:rFonts w:ascii="Arial" w:cs="Arial" w:eastAsia="Arial" w:hAnsi="Arial"/>
          <w:b/>
          <w:bCs/>
          <w:sz w:val="20"/>
          <w:szCs w:val="20"/>
        </w:rPr>
        <w:t xml:space="preserve">2020</w:t>
      </w:r>
      <w:r>
        <w:rPr>
          <w:rFonts w:ascii="Arial" w:cs="Arial" w:eastAsia="Arial" w:hAnsi="Arial"/>
          <w:sz w:val="20"/>
          <w:szCs w:val="20"/>
        </w:rPr>
        <w:t xml:space="preserve">	</w:t>
      </w:r>
      <w:r>
        <w:rPr>
          <w:rFonts w:ascii="Arial" w:cs="Arial" w:eastAsia="Arial" w:hAnsi="Arial"/>
          <w:b/>
          <w:bCs/>
          <w:color w:val="000000"/>
          <w:sz w:val="20"/>
          <w:szCs w:val="20"/>
        </w:rPr>
        <w:t xml:space="preserve">Vanessa Morin</w:t>
      </w:r>
      <w:r>
        <w:rPr>
          <w:rFonts w:ascii="Arial" w:cs="Arial" w:eastAsia="Arial" w:hAnsi="Arial"/>
          <w:color w:val="000000"/>
          <w:sz w:val="20"/>
          <w:szCs w:val="20"/>
        </w:rPr>
        <w:t xml:space="preserve"> (MPP, University of Calgary)</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Sean McCann (MPP, University of Calgary)</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Ellen Reynolds (MPA, University of Victoria)</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Justine Farrell (MPA, University of Victoria)</w:t>
      </w:r>
    </w:p>
    <w:p>
      <w:pPr>
        <w:tabs>
          <w:tab w:val="left" w:pos="1800"/>
        </w:tabs>
        <w:spacing w:after="100"/>
        <w:ind w:left="1800" w:hanging="1440"/>
      </w:pPr>
      <w:r>
        <w:rPr>
          <w:rFonts w:ascii="Arial" w:cs="Arial" w:eastAsia="Arial" w:hAnsi="Arial"/>
          <w:b/>
          <w:bCs/>
          <w:sz w:val="20"/>
          <w:szCs w:val="20"/>
        </w:rPr>
        <w:t xml:space="preserve">2014–2015</w:t>
      </w:r>
      <w:r>
        <w:rPr>
          <w:rFonts w:ascii="Arial" w:cs="Arial" w:eastAsia="Arial" w:hAnsi="Arial"/>
          <w:sz w:val="20"/>
          <w:szCs w:val="20"/>
        </w:rPr>
        <w:t xml:space="preserve">	</w:t>
      </w:r>
      <w:r>
        <w:rPr>
          <w:rFonts w:ascii="Arial" w:cs="Arial" w:eastAsia="Arial" w:hAnsi="Arial"/>
          <w:color w:val="000000"/>
          <w:sz w:val="20"/>
          <w:szCs w:val="20"/>
        </w:rPr>
        <w:t xml:space="preserve">Keith Preston (MPA, University of Victoria)</w:t>
      </w:r>
    </w:p>
    <w:p>
      <w:pPr>
        <w:tabs>
          <w:tab w:val="left" w:pos="1800"/>
        </w:tabs>
        <w:spacing w:after="100"/>
        <w:ind w:left="1800" w:hanging="1440"/>
      </w:pPr>
      <w:r>
        <w:rPr>
          <w:rFonts w:ascii="Arial" w:cs="Arial" w:eastAsia="Arial" w:hAnsi="Arial"/>
          <w:b/>
          <w:bCs/>
          <w:sz w:val="20"/>
          <w:szCs w:val="20"/>
        </w:rPr>
        <w:t xml:space="preserve">2011–2012</w:t>
      </w:r>
      <w:r>
        <w:rPr>
          <w:rFonts w:ascii="Arial" w:cs="Arial" w:eastAsia="Arial" w:hAnsi="Arial"/>
          <w:sz w:val="20"/>
          <w:szCs w:val="20"/>
        </w:rPr>
        <w:t xml:space="preserve">	</w:t>
      </w:r>
      <w:r>
        <w:rPr>
          <w:rFonts w:ascii="Arial" w:cs="Arial" w:eastAsia="Arial" w:hAnsi="Arial"/>
          <w:color w:val="000000"/>
          <w:sz w:val="20"/>
          <w:szCs w:val="20"/>
        </w:rPr>
        <w:t xml:space="preserve">Jing Ting (MPA, University of Victoria)</w:t>
      </w:r>
    </w:p>
    <w:p>
      <w:pPr>
        <w:tabs>
          <w:tab w:val="left" w:pos="1800"/>
        </w:tabs>
        <w:spacing w:after="100"/>
        <w:ind w:left="1800" w:hanging="1440"/>
      </w:pPr>
      <w:r>
        <w:rPr>
          <w:rFonts w:ascii="Arial" w:cs="Arial" w:eastAsia="Arial" w:hAnsi="Arial"/>
          <w:b/>
          <w:bCs/>
          <w:sz w:val="20"/>
          <w:szCs w:val="20"/>
        </w:rPr>
        <w:t xml:space="preserve">2011–2012</w:t>
      </w:r>
      <w:r>
        <w:rPr>
          <w:rFonts w:ascii="Arial" w:cs="Arial" w:eastAsia="Arial" w:hAnsi="Arial"/>
          <w:sz w:val="20"/>
          <w:szCs w:val="20"/>
        </w:rPr>
        <w:t xml:space="preserve">	</w:t>
      </w:r>
      <w:r>
        <w:rPr>
          <w:rFonts w:ascii="Arial" w:cs="Arial" w:eastAsia="Arial" w:hAnsi="Arial"/>
          <w:b/>
          <w:bCs/>
          <w:color w:val="000000"/>
          <w:sz w:val="20"/>
          <w:szCs w:val="20"/>
        </w:rPr>
        <w:t xml:space="preserve">Kelly Farish</w:t>
      </w:r>
      <w:r>
        <w:rPr>
          <w:rFonts w:ascii="Arial" w:cs="Arial" w:eastAsia="Arial" w:hAnsi="Arial"/>
          <w:color w:val="000000"/>
          <w:sz w:val="20"/>
          <w:szCs w:val="20"/>
        </w:rPr>
        <w:t xml:space="preserve"> (MPA/JD, University of Victoria)</w:t>
      </w:r>
    </w:p>
    <w:p>
      <w:pPr>
        <w:tabs>
          <w:tab w:val="left" w:pos="1800"/>
        </w:tabs>
        <w:spacing w:after="100"/>
        <w:ind w:left="1800" w:hanging="1440"/>
      </w:pPr>
      <w:r>
        <w:rPr>
          <w:rFonts w:ascii="Arial" w:cs="Arial" w:eastAsia="Arial" w:hAnsi="Arial"/>
          <w:b/>
          <w:bCs/>
          <w:sz w:val="20"/>
          <w:szCs w:val="20"/>
        </w:rPr>
        <w:t xml:space="preserve">2010–2011</w:t>
      </w:r>
      <w:r>
        <w:rPr>
          <w:rFonts w:ascii="Arial" w:cs="Arial" w:eastAsia="Arial" w:hAnsi="Arial"/>
          <w:sz w:val="20"/>
          <w:szCs w:val="20"/>
        </w:rPr>
        <w:t xml:space="preserve">	</w:t>
      </w:r>
      <w:r>
        <w:rPr>
          <w:rFonts w:ascii="Arial" w:cs="Arial" w:eastAsia="Arial" w:hAnsi="Arial"/>
          <w:color w:val="000000"/>
          <w:sz w:val="20"/>
          <w:szCs w:val="20"/>
        </w:rPr>
        <w:t xml:space="preserve">Natasha Horseman (MPA, University of Victoria)</w:t>
      </w:r>
    </w:p>
    <w:p>
      <w:pPr>
        <w:tabs>
          <w:tab w:val="left" w:pos="1800"/>
        </w:tabs>
        <w:spacing w:after="100"/>
        <w:ind w:left="1800" w:hanging="1440"/>
      </w:pPr>
      <w:r>
        <w:rPr>
          <w:rFonts w:ascii="Arial" w:cs="Arial" w:eastAsia="Arial" w:hAnsi="Arial"/>
          <w:b/>
          <w:bCs/>
          <w:sz w:val="20"/>
          <w:szCs w:val="20"/>
        </w:rPr>
        <w:t xml:space="preserve">2010–2011</w:t>
      </w:r>
      <w:r>
        <w:rPr>
          <w:rFonts w:ascii="Arial" w:cs="Arial" w:eastAsia="Arial" w:hAnsi="Arial"/>
          <w:sz w:val="20"/>
          <w:szCs w:val="20"/>
        </w:rPr>
        <w:t xml:space="preserve">	</w:t>
      </w:r>
      <w:r>
        <w:rPr>
          <w:rFonts w:ascii="Arial" w:cs="Arial" w:eastAsia="Arial" w:hAnsi="Arial"/>
          <w:color w:val="000000"/>
          <w:sz w:val="20"/>
          <w:szCs w:val="20"/>
        </w:rPr>
        <w:t xml:space="preserve">Vivien Tse (MPA, University of Victoria)</w:t>
      </w:r>
    </w:p>
    <w:p>
      <w:pPr>
        <w:tabs>
          <w:tab w:val="left" w:pos="1800"/>
        </w:tabs>
        <w:spacing w:after="100"/>
        <w:ind w:left="1800" w:hanging="1440"/>
      </w:pPr>
      <w:r>
        <w:rPr>
          <w:rFonts w:ascii="Arial" w:cs="Arial" w:eastAsia="Arial" w:hAnsi="Arial"/>
          <w:b/>
          <w:bCs/>
          <w:sz w:val="20"/>
          <w:szCs w:val="20"/>
        </w:rPr>
        <w:t xml:space="preserve">2009–2010</w:t>
      </w:r>
      <w:r>
        <w:rPr>
          <w:rFonts w:ascii="Arial" w:cs="Arial" w:eastAsia="Arial" w:hAnsi="Arial"/>
          <w:sz w:val="20"/>
          <w:szCs w:val="20"/>
        </w:rPr>
        <w:t xml:space="preserve">	</w:t>
      </w:r>
      <w:r>
        <w:rPr>
          <w:rFonts w:ascii="Arial" w:cs="Arial" w:eastAsia="Arial" w:hAnsi="Arial"/>
          <w:b/>
          <w:bCs/>
          <w:color w:val="000000"/>
          <w:sz w:val="20"/>
          <w:szCs w:val="20"/>
        </w:rPr>
        <w:t xml:space="preserve">Tamara Checkley</w:t>
      </w:r>
      <w:r>
        <w:rPr>
          <w:rFonts w:ascii="Arial" w:cs="Arial" w:eastAsia="Arial" w:hAnsi="Arial"/>
          <w:color w:val="000000"/>
          <w:sz w:val="20"/>
          <w:szCs w:val="20"/>
        </w:rPr>
        <w:t xml:space="preserve">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b/>
          <w:bCs/>
          <w:color w:val="000000"/>
          <w:sz w:val="20"/>
          <w:szCs w:val="20"/>
        </w:rPr>
        <w:t xml:space="preserve">Allen McAvoy</w:t>
      </w:r>
      <w:r>
        <w:rPr>
          <w:rFonts w:ascii="Arial" w:cs="Arial" w:eastAsia="Arial" w:hAnsi="Arial"/>
          <w:color w:val="000000"/>
          <w:sz w:val="20"/>
          <w:szCs w:val="20"/>
        </w:rPr>
        <w:t xml:space="preserve">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Peter Pokorny (MPA,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Michael Braun (MPA,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Nurlybek Nurmagambetov (MA, University of Manitoba)</w:t>
      </w:r>
    </w:p>
    <w:p>
      <w:pPr>
        <w:spacing w:after="80" w:before="160"/>
      </w:pPr>
      <w:r>
        <w:rPr>
          <w:rFonts w:ascii="Arial" w:cs="Arial" w:eastAsia="Arial" w:hAnsi="Arial"/>
          <w:b/>
          <w:bCs/>
          <w:color w:val="404040"/>
          <w:sz w:val="22"/>
          <w:szCs w:val="22"/>
        </w:rPr>
        <w:t xml:space="preserve">Graduate Student Committee Membership (To Completion Only)</w:t>
      </w:r>
    </w:p>
    <w:p>
      <w:pPr>
        <w:spacing w:after="80" w:before="100"/>
      </w:pPr>
      <w:r>
        <w:rPr>
          <w:rFonts w:ascii="Arial" w:cs="Arial" w:eastAsia="Arial" w:hAnsi="Arial"/>
          <w:b/>
          <w:bCs/>
          <w:i/>
          <w:iCs/>
          <w:sz w:val="20"/>
          <w:szCs w:val="20"/>
        </w:rPr>
        <w:t xml:space="preserve">PhD Students (Chair)</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Shaham Sharifan (Engineering, University of Victoria)</w:t>
      </w:r>
    </w:p>
    <w:p>
      <w:pPr>
        <w:spacing w:after="80" w:before="100"/>
      </w:pPr>
      <w:r>
        <w:rPr>
          <w:rFonts w:ascii="Arial" w:cs="Arial" w:eastAsia="Arial" w:hAnsi="Arial"/>
          <w:b/>
          <w:bCs/>
          <w:i/>
          <w:iCs/>
          <w:sz w:val="20"/>
          <w:szCs w:val="20"/>
        </w:rPr>
        <w:t xml:space="preserve">Master's Students (Chair)</w:t>
      </w:r>
    </w:p>
    <w:p>
      <w:pPr>
        <w:tabs>
          <w:tab w:val="left" w:pos="1800"/>
        </w:tabs>
        <w:spacing w:after="100"/>
        <w:ind w:left="1800" w:hanging="1440"/>
      </w:pPr>
      <w:r>
        <w:rPr>
          <w:rFonts w:ascii="Arial" w:cs="Arial" w:eastAsia="Arial" w:hAnsi="Arial"/>
          <w:b/>
          <w:bCs/>
          <w:sz w:val="20"/>
          <w:szCs w:val="20"/>
        </w:rPr>
        <w:t xml:space="preserve">2017</w:t>
      </w:r>
      <w:r>
        <w:rPr>
          <w:rFonts w:ascii="Arial" w:cs="Arial" w:eastAsia="Arial" w:hAnsi="Arial"/>
          <w:sz w:val="20"/>
          <w:szCs w:val="20"/>
        </w:rPr>
        <w:t xml:space="preserve">	</w:t>
      </w:r>
      <w:r>
        <w:rPr>
          <w:rFonts w:ascii="Arial" w:cs="Arial" w:eastAsia="Arial" w:hAnsi="Arial"/>
          <w:color w:val="000000"/>
          <w:sz w:val="20"/>
          <w:szCs w:val="20"/>
        </w:rPr>
        <w:t xml:space="preserve">Marianne Neuman (Community Development,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Jodi Rempel (Dispute Resolution,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Melissa Penner (Public Administration, University of Victoria)</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Leslie Sowcroft (Public Administration, University of Victoria)</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Yagmar Akbulut (Engineering, University of Victoria)</w:t>
      </w:r>
    </w:p>
    <w:p>
      <w:pPr>
        <w:tabs>
          <w:tab w:val="left" w:pos="1800"/>
        </w:tabs>
        <w:spacing w:after="100"/>
        <w:ind w:left="1800" w:hanging="1440"/>
      </w:pPr>
      <w:r>
        <w:rPr>
          <w:rFonts w:ascii="Arial" w:cs="Arial" w:eastAsia="Arial" w:hAnsi="Arial"/>
          <w:b/>
          <w:bCs/>
          <w:sz w:val="20"/>
          <w:szCs w:val="20"/>
        </w:rPr>
        <w:t xml:space="preserve">2013</w:t>
      </w:r>
      <w:r>
        <w:rPr>
          <w:rFonts w:ascii="Arial" w:cs="Arial" w:eastAsia="Arial" w:hAnsi="Arial"/>
          <w:sz w:val="20"/>
          <w:szCs w:val="20"/>
        </w:rPr>
        <w:t xml:space="preserve">	</w:t>
      </w:r>
      <w:r>
        <w:rPr>
          <w:rFonts w:ascii="Arial" w:cs="Arial" w:eastAsia="Arial" w:hAnsi="Arial"/>
          <w:color w:val="000000"/>
          <w:sz w:val="20"/>
          <w:szCs w:val="20"/>
        </w:rPr>
        <w:t xml:space="preserve">Christine Roberts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Elizabeth Clemo (History,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Craig Fink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Jesse Blondin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Kirsten McMenamie (Dispute Resolution,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Basia Bukowski (Dispute Resolution,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Aidan Burgess (Public Administration,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Lauren Chitra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Jo-Ann Munn Garfuik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Andrew Stephenson (Earth and Ocean Sciences,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Daphne Flanagan (Dispute Resolution,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Jane Vermeulen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Victor Lorentz (Political Science,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Keely Sarah Hunter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Kathleen Berniaz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Thomas Crist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Jillian Rouselle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Debbie Bryant (Biology, University of Victoria)</w:t>
      </w:r>
    </w:p>
    <w:p>
      <w:pPr>
        <w:spacing w:after="80" w:before="100"/>
      </w:pPr>
      <w:r>
        <w:rPr>
          <w:rFonts w:ascii="Arial" w:cs="Arial" w:eastAsia="Arial" w:hAnsi="Arial"/>
          <w:b/>
          <w:bCs/>
          <w:i/>
          <w:iCs/>
          <w:sz w:val="20"/>
          <w:szCs w:val="20"/>
        </w:rPr>
        <w:t xml:space="preserve">Master's Students (Committee Member)</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Taylor Davison (MA Sociology, University of Calgary)</w:t>
      </w:r>
    </w:p>
    <w:p>
      <w:pPr>
        <w:tabs>
          <w:tab w:val="left" w:pos="1800"/>
        </w:tabs>
        <w:spacing w:after="100"/>
        <w:ind w:left="1800" w:hanging="1440"/>
      </w:pPr>
      <w:r>
        <w:rPr>
          <w:rFonts w:ascii="Arial" w:cs="Arial" w:eastAsia="Arial" w:hAnsi="Arial"/>
          <w:b/>
          <w:bCs/>
          <w:sz w:val="20"/>
          <w:szCs w:val="20"/>
        </w:rPr>
        <w:t xml:space="preserve">2016</w:t>
      </w:r>
      <w:r>
        <w:rPr>
          <w:rFonts w:ascii="Arial" w:cs="Arial" w:eastAsia="Arial" w:hAnsi="Arial"/>
          <w:sz w:val="20"/>
          <w:szCs w:val="20"/>
        </w:rPr>
        <w:t xml:space="preserve">	</w:t>
      </w:r>
      <w:r>
        <w:rPr>
          <w:rFonts w:ascii="Arial" w:cs="Arial" w:eastAsia="Arial" w:hAnsi="Arial"/>
          <w:color w:val="000000"/>
          <w:sz w:val="20"/>
          <w:szCs w:val="20"/>
        </w:rPr>
        <w:t xml:space="preserve">Katherine Dillistone (Public Administration, University of Victoria)</w:t>
      </w:r>
    </w:p>
    <w:p>
      <w:pPr>
        <w:tabs>
          <w:tab w:val="left" w:pos="1800"/>
        </w:tabs>
        <w:spacing w:after="100"/>
        <w:ind w:left="1800" w:hanging="1440"/>
      </w:pPr>
      <w:r>
        <w:rPr>
          <w:rFonts w:ascii="Arial" w:cs="Arial" w:eastAsia="Arial" w:hAnsi="Arial"/>
          <w:b/>
          <w:bCs/>
          <w:sz w:val="20"/>
          <w:szCs w:val="20"/>
        </w:rPr>
        <w:t xml:space="preserve">2014</w:t>
      </w:r>
      <w:r>
        <w:rPr>
          <w:rFonts w:ascii="Arial" w:cs="Arial" w:eastAsia="Arial" w:hAnsi="Arial"/>
          <w:sz w:val="20"/>
          <w:szCs w:val="20"/>
        </w:rPr>
        <w:t xml:space="preserve">	</w:t>
      </w:r>
      <w:r>
        <w:rPr>
          <w:rFonts w:ascii="Arial" w:cs="Arial" w:eastAsia="Arial" w:hAnsi="Arial"/>
          <w:color w:val="000000"/>
          <w:sz w:val="20"/>
          <w:szCs w:val="20"/>
        </w:rPr>
        <w:t xml:space="preserve">Natasha Lesnikova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Alison Hopkins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Lara Blazey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Jennie Wang (Public Administration, University of Victoria)</w:t>
      </w:r>
    </w:p>
    <w:p>
      <w:pPr>
        <w:tabs>
          <w:tab w:val="left" w:pos="1800"/>
        </w:tabs>
        <w:spacing w:after="100"/>
        <w:ind w:left="1800" w:hanging="1440"/>
      </w:pPr>
      <w:r>
        <w:rPr>
          <w:rFonts w:ascii="Arial" w:cs="Arial" w:eastAsia="Arial" w:hAnsi="Arial"/>
          <w:b/>
          <w:bCs/>
          <w:sz w:val="20"/>
          <w:szCs w:val="20"/>
        </w:rPr>
        <w:t xml:space="preserve">2012</w:t>
      </w:r>
      <w:r>
        <w:rPr>
          <w:rFonts w:ascii="Arial" w:cs="Arial" w:eastAsia="Arial" w:hAnsi="Arial"/>
          <w:sz w:val="20"/>
          <w:szCs w:val="20"/>
        </w:rPr>
        <w:t xml:space="preserve">	</w:t>
      </w:r>
      <w:r>
        <w:rPr>
          <w:rFonts w:ascii="Arial" w:cs="Arial" w:eastAsia="Arial" w:hAnsi="Arial"/>
          <w:color w:val="000000"/>
          <w:sz w:val="20"/>
          <w:szCs w:val="20"/>
        </w:rPr>
        <w:t xml:space="preserve">Sean Ryan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Caitline Brownrigg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Teresa Butler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Kirn Khaira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Rory Allen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Alexandra Hatcher (Public Administration, University of Victoria)</w:t>
      </w:r>
    </w:p>
    <w:p>
      <w:pPr>
        <w:tabs>
          <w:tab w:val="left" w:pos="1800"/>
        </w:tabs>
        <w:spacing w:after="100"/>
        <w:ind w:left="1800" w:hanging="1440"/>
      </w:pPr>
      <w:r>
        <w:rPr>
          <w:rFonts w:ascii="Arial" w:cs="Arial" w:eastAsia="Arial" w:hAnsi="Arial"/>
          <w:b/>
          <w:bCs/>
          <w:sz w:val="20"/>
          <w:szCs w:val="20"/>
        </w:rPr>
        <w:t xml:space="preserve">2009</w:t>
      </w:r>
      <w:r>
        <w:rPr>
          <w:rFonts w:ascii="Arial" w:cs="Arial" w:eastAsia="Arial" w:hAnsi="Arial"/>
          <w:sz w:val="20"/>
          <w:szCs w:val="20"/>
        </w:rPr>
        <w:t xml:space="preserve">	</w:t>
      </w:r>
      <w:r>
        <w:rPr>
          <w:rFonts w:ascii="Arial" w:cs="Arial" w:eastAsia="Arial" w:hAnsi="Arial"/>
          <w:color w:val="000000"/>
          <w:sz w:val="20"/>
          <w:szCs w:val="20"/>
        </w:rPr>
        <w:t xml:space="preserve">Kirsten Brown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Shuang Yu (Economics,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Kristina Parkes (Public Administration,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Shirley Woods (Public Administration, University of Victoria)</w:t>
      </w:r>
    </w:p>
    <w:p>
      <w:pPr>
        <w:tabs>
          <w:tab w:val="left" w:pos="1800"/>
        </w:tabs>
        <w:spacing w:after="100"/>
        <w:ind w:left="1800" w:hanging="1440"/>
      </w:pPr>
      <w:r>
        <w:rPr>
          <w:rFonts w:ascii="Arial" w:cs="Arial" w:eastAsia="Arial" w:hAnsi="Arial"/>
          <w:b/>
          <w:bCs/>
          <w:sz w:val="20"/>
          <w:szCs w:val="20"/>
        </w:rPr>
        <w:t xml:space="preserve">2007</w:t>
      </w:r>
      <w:r>
        <w:rPr>
          <w:rFonts w:ascii="Arial" w:cs="Arial" w:eastAsia="Arial" w:hAnsi="Arial"/>
          <w:sz w:val="20"/>
          <w:szCs w:val="20"/>
        </w:rPr>
        <w:t xml:space="preserve">	</w:t>
      </w:r>
      <w:r>
        <w:rPr>
          <w:rFonts w:ascii="Arial" w:cs="Arial" w:eastAsia="Arial" w:hAnsi="Arial"/>
          <w:color w:val="000000"/>
          <w:sz w:val="20"/>
          <w:szCs w:val="20"/>
        </w:rPr>
        <w:t xml:space="preserve">Nikoo Boroumand (Public Administration, University of Victoria)</w:t>
      </w:r>
    </w:p>
    <w:p>
      <w:pPr>
        <w:pBdr>
          <w:bottom w:val="single" w:color="AAAAAA" w:sz="6" w:space="4"/>
        </w:pBdr>
        <w:spacing w:after="120" w:before="240"/>
      </w:pPr>
      <w:r>
        <w:rPr>
          <w:rFonts w:ascii="Arial" w:cs="Arial" w:eastAsia="Arial" w:hAnsi="Arial"/>
          <w:b/>
          <w:bCs/>
          <w:color w:val="1F3864"/>
          <w:sz w:val="26"/>
          <w:szCs w:val="26"/>
        </w:rPr>
        <w:t xml:space="preserve">RESEARCH EMPLOYEE SUPERVISION</w:t>
      </w:r>
    </w:p>
    <w:p>
      <w:pPr>
        <w:tabs>
          <w:tab w:val="left" w:pos="1440"/>
        </w:tabs>
        <w:spacing w:after="100"/>
        <w:ind w:left="1440" w:hanging="1440"/>
      </w:pPr>
      <w:r>
        <w:rPr>
          <w:rFonts w:ascii="Arial" w:cs="Arial" w:eastAsia="Arial" w:hAnsi="Arial"/>
          <w:b/>
          <w:bCs/>
          <w:sz w:val="20"/>
          <w:szCs w:val="20"/>
        </w:rPr>
        <w:t xml:space="preserve">2019–present</w:t>
      </w:r>
      <w:r>
        <w:rPr>
          <w:rFonts w:ascii="Arial" w:cs="Arial" w:eastAsia="Arial" w:hAnsi="Arial"/>
          <w:sz w:val="20"/>
          <w:szCs w:val="20"/>
        </w:rPr>
        <w:t xml:space="preserve">	</w:t>
      </w:r>
      <w:r>
        <w:rPr>
          <w:rFonts w:ascii="Arial" w:cs="Arial" w:eastAsia="Arial" w:hAnsi="Arial"/>
          <w:color w:val="000000"/>
          <w:sz w:val="20"/>
          <w:szCs w:val="20"/>
        </w:rPr>
        <w:t xml:space="preserve">Gillian Petit, Doctoral &amp; Post-doctoral Researcher,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2020–2024</w:t>
      </w:r>
      <w:r>
        <w:rPr>
          <w:rFonts w:ascii="Arial" w:cs="Arial" w:eastAsia="Arial" w:hAnsi="Arial"/>
          <w:sz w:val="20"/>
          <w:szCs w:val="20"/>
        </w:rPr>
        <w:t xml:space="preserve">	</w:t>
      </w:r>
      <w:r>
        <w:rPr>
          <w:rFonts w:ascii="Arial" w:cs="Arial" w:eastAsia="Arial" w:hAnsi="Arial"/>
          <w:b/>
          <w:bCs/>
          <w:color w:val="000000"/>
          <w:sz w:val="20"/>
          <w:szCs w:val="20"/>
        </w:rPr>
        <w:t xml:space="preserve">Alexa Atherly</w:t>
      </w:r>
      <w:r>
        <w:rPr>
          <w:rFonts w:ascii="Arial" w:cs="Arial" w:eastAsia="Arial" w:hAnsi="Arial"/>
          <w:color w:val="000000"/>
          <w:sz w:val="20"/>
          <w:szCs w:val="20"/>
        </w:rPr>
        <w:t xml:space="preserve">, Project and Research Coordinator,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2019–2024</w:t>
      </w:r>
      <w:r>
        <w:rPr>
          <w:rFonts w:ascii="Arial" w:cs="Arial" w:eastAsia="Arial" w:hAnsi="Arial"/>
          <w:sz w:val="20"/>
          <w:szCs w:val="20"/>
        </w:rPr>
        <w:t xml:space="preserve">	</w:t>
      </w:r>
      <w:r>
        <w:rPr>
          <w:rFonts w:ascii="Arial" w:cs="Arial" w:eastAsia="Arial" w:hAnsi="Arial"/>
          <w:color w:val="000000"/>
          <w:sz w:val="20"/>
          <w:szCs w:val="20"/>
        </w:rPr>
        <w:t xml:space="preserve">Anna Cameron, Project Coordinator and Research Associate, School of Public Policy and Department of Economics, University of Calgary.</w:t>
      </w:r>
    </w:p>
    <w:p>
      <w:pPr>
        <w:tabs>
          <w:tab w:val="left" w:pos="1440"/>
        </w:tabs>
        <w:spacing w:after="100"/>
        <w:ind w:left="1440" w:hanging="1440"/>
      </w:pPr>
      <w:r>
        <w:rPr>
          <w:rFonts w:ascii="Arial" w:cs="Arial" w:eastAsia="Arial" w:hAnsi="Arial"/>
          <w:b/>
          <w:bCs/>
          <w:sz w:val="20"/>
          <w:szCs w:val="20"/>
        </w:rPr>
        <w:t xml:space="preserve">2021–2023</w:t>
      </w:r>
      <w:r>
        <w:rPr>
          <w:rFonts w:ascii="Arial" w:cs="Arial" w:eastAsia="Arial" w:hAnsi="Arial"/>
          <w:sz w:val="20"/>
          <w:szCs w:val="20"/>
        </w:rPr>
        <w:t xml:space="preserve">	</w:t>
      </w:r>
      <w:r>
        <w:rPr>
          <w:rFonts w:ascii="Arial" w:cs="Arial" w:eastAsia="Arial" w:hAnsi="Arial"/>
          <w:b/>
          <w:bCs/>
          <w:color w:val="000000"/>
          <w:sz w:val="20"/>
          <w:szCs w:val="20"/>
        </w:rPr>
        <w:t xml:space="preserve">Wenshuang Yu</w:t>
      </w:r>
      <w:r>
        <w:rPr>
          <w:rFonts w:ascii="Arial" w:cs="Arial" w:eastAsia="Arial" w:hAnsi="Arial"/>
          <w:color w:val="000000"/>
          <w:sz w:val="20"/>
          <w:szCs w:val="20"/>
        </w:rPr>
        <w:t xml:space="preserve">, Research Associate, Department of Economics, University of Calgary.</w:t>
      </w:r>
    </w:p>
    <w:p>
      <w:pPr>
        <w:tabs>
          <w:tab w:val="left" w:pos="1440"/>
        </w:tabs>
        <w:spacing w:after="100"/>
        <w:ind w:left="1440" w:hanging="1440"/>
      </w:pPr>
      <w:r>
        <w:rPr>
          <w:rFonts w:ascii="Arial" w:cs="Arial" w:eastAsia="Arial" w:hAnsi="Arial"/>
          <w:b/>
          <w:bCs/>
          <w:sz w:val="20"/>
          <w:szCs w:val="20"/>
        </w:rPr>
        <w:t xml:space="preserve">2019–2023</w:t>
      </w:r>
      <w:r>
        <w:rPr>
          <w:rFonts w:ascii="Arial" w:cs="Arial" w:eastAsia="Arial" w:hAnsi="Arial"/>
          <w:sz w:val="20"/>
          <w:szCs w:val="20"/>
        </w:rPr>
        <w:t xml:space="preserve">	</w:t>
      </w:r>
      <w:r>
        <w:rPr>
          <w:rFonts w:ascii="Arial" w:cs="Arial" w:eastAsia="Arial" w:hAnsi="Arial"/>
          <w:color w:val="000000"/>
          <w:sz w:val="20"/>
          <w:szCs w:val="20"/>
        </w:rPr>
        <w:t xml:space="preserve">Mukesh Khanal, Research Associate, School of Public Policy, University of Calgary.</w:t>
      </w:r>
    </w:p>
    <w:p>
      <w:pPr>
        <w:tabs>
          <w:tab w:val="left" w:pos="1440"/>
        </w:tabs>
        <w:spacing w:after="100"/>
        <w:ind w:left="1440" w:hanging="1440"/>
      </w:pPr>
      <w:r>
        <w:rPr>
          <w:rFonts w:ascii="Arial" w:cs="Arial" w:eastAsia="Arial" w:hAnsi="Arial"/>
          <w:b/>
          <w:bCs/>
          <w:sz w:val="20"/>
          <w:szCs w:val="20"/>
        </w:rPr>
        <w:t xml:space="preserve">2019–2022</w:t>
      </w:r>
      <w:r>
        <w:rPr>
          <w:rFonts w:ascii="Arial" w:cs="Arial" w:eastAsia="Arial" w:hAnsi="Arial"/>
          <w:sz w:val="20"/>
          <w:szCs w:val="20"/>
        </w:rPr>
        <w:t xml:space="preserve">	</w:t>
      </w:r>
      <w:r>
        <w:rPr>
          <w:rFonts w:ascii="Arial" w:cs="Arial" w:eastAsia="Arial" w:hAnsi="Arial"/>
          <w:color w:val="000000"/>
          <w:sz w:val="20"/>
          <w:szCs w:val="20"/>
        </w:rPr>
        <w:t xml:space="preserve">Daria Crisan, Research Associate, School of Public Policy, University of Calgary.</w:t>
      </w:r>
    </w:p>
    <w:p>
      <w:pPr>
        <w:tabs>
          <w:tab w:val="left" w:pos="1440"/>
        </w:tabs>
        <w:spacing w:after="100"/>
        <w:ind w:left="1440" w:hanging="1440"/>
      </w:pPr>
      <w:r>
        <w:rPr>
          <w:rFonts w:ascii="Arial" w:cs="Arial" w:eastAsia="Arial" w:hAnsi="Arial"/>
          <w:b/>
          <w:bCs/>
          <w:sz w:val="20"/>
          <w:szCs w:val="20"/>
        </w:rPr>
        <w:t xml:space="preserve">2019</w:t>
      </w:r>
      <w:r>
        <w:rPr>
          <w:rFonts w:ascii="Arial" w:cs="Arial" w:eastAsia="Arial" w:hAnsi="Arial"/>
          <w:sz w:val="20"/>
          <w:szCs w:val="20"/>
        </w:rPr>
        <w:t xml:space="preserve">	</w:t>
      </w:r>
      <w:r>
        <w:rPr>
          <w:rFonts w:ascii="Arial" w:cs="Arial" w:eastAsia="Arial" w:hAnsi="Arial"/>
          <w:color w:val="000000"/>
          <w:sz w:val="20"/>
          <w:szCs w:val="20"/>
        </w:rPr>
        <w:t xml:space="preserve">Sarah Packford, Project Coordinator, School of Public Policy, University of Calgary.</w:t>
      </w:r>
    </w:p>
    <w:p>
      <w:pPr>
        <w:pBdr>
          <w:bottom w:val="single" w:color="AAAAAA" w:sz="6" w:space="4"/>
        </w:pBdr>
        <w:spacing w:after="120" w:before="240"/>
      </w:pPr>
      <w:r>
        <w:rPr>
          <w:rFonts w:ascii="Arial" w:cs="Arial" w:eastAsia="Arial" w:hAnsi="Arial"/>
          <w:b/>
          <w:bCs/>
          <w:color w:val="1F3864"/>
          <w:sz w:val="26"/>
          <w:szCs w:val="26"/>
        </w:rPr>
        <w:t xml:space="preserve">ADMINISTRATIVE ACTIVITIES</w:t>
      </w:r>
    </w:p>
    <w:p>
      <w:pPr>
        <w:spacing w:after="80" w:before="160"/>
      </w:pPr>
      <w:r>
        <w:rPr>
          <w:rFonts w:ascii="Arial" w:cs="Arial" w:eastAsia="Arial" w:hAnsi="Arial"/>
          <w:b/>
          <w:bCs/>
          <w:color w:val="404040"/>
          <w:sz w:val="22"/>
          <w:szCs w:val="22"/>
        </w:rPr>
        <w:t xml:space="preserve">University and Faculty</w:t>
      </w:r>
    </w:p>
    <w:p>
      <w:pPr>
        <w:tabs>
          <w:tab w:val="left" w:pos="1800"/>
        </w:tabs>
        <w:spacing w:after="100"/>
        <w:ind w:left="1800" w:hanging="1440"/>
      </w:pPr>
      <w:r>
        <w:rPr>
          <w:rFonts w:ascii="Arial" w:cs="Arial" w:eastAsia="Arial" w:hAnsi="Arial"/>
          <w:b/>
          <w:bCs/>
          <w:sz w:val="20"/>
          <w:szCs w:val="20"/>
        </w:rPr>
        <w:t xml:space="preserve">2025–present</w:t>
      </w:r>
      <w:r>
        <w:rPr>
          <w:rFonts w:ascii="Arial" w:cs="Arial" w:eastAsia="Arial" w:hAnsi="Arial"/>
          <w:sz w:val="20"/>
          <w:szCs w:val="20"/>
        </w:rPr>
        <w:t xml:space="preserve">	</w:t>
      </w:r>
      <w:r>
        <w:rPr>
          <w:rFonts w:ascii="Arial" w:cs="Arial" w:eastAsia="Arial" w:hAnsi="Arial"/>
          <w:color w:val="000000"/>
          <w:sz w:val="20"/>
          <w:szCs w:val="20"/>
        </w:rPr>
        <w:t xml:space="preserve">Mentor, College of Mentors, Faculty of Arts,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Faculty of Arts Council, University of Calgary.</w:t>
      </w:r>
    </w:p>
    <w:p>
      <w:pPr>
        <w:tabs>
          <w:tab w:val="left" w:pos="1800"/>
        </w:tabs>
        <w:spacing w:after="100"/>
        <w:ind w:left="1800" w:hanging="1440"/>
      </w:pPr>
      <w:r>
        <w:rPr>
          <w:rFonts w:ascii="Arial" w:cs="Arial" w:eastAsia="Arial" w:hAnsi="Arial"/>
          <w:b/>
          <w:bCs/>
          <w:sz w:val="20"/>
          <w:szCs w:val="20"/>
        </w:rPr>
        <w:t xml:space="preserve">2026–2028</w:t>
      </w:r>
      <w:r>
        <w:rPr>
          <w:rFonts w:ascii="Arial" w:cs="Arial" w:eastAsia="Arial" w:hAnsi="Arial"/>
          <w:sz w:val="20"/>
          <w:szCs w:val="20"/>
        </w:rPr>
        <w:t xml:space="preserve">	</w:t>
      </w:r>
      <w:r>
        <w:rPr>
          <w:rFonts w:ascii="Arial" w:cs="Arial" w:eastAsia="Arial" w:hAnsi="Arial"/>
          <w:color w:val="000000"/>
          <w:sz w:val="20"/>
          <w:szCs w:val="20"/>
        </w:rPr>
        <w:t xml:space="preserve">Elected Member, Research and Creativity Committee, Faculty of Arts,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Adjudicator, Thelma Margaret Horte Memorial Fellowship in Women and Society, Faculty of Arts, University of Calgary.</w:t>
      </w:r>
    </w:p>
    <w:p>
      <w:pPr>
        <w:tabs>
          <w:tab w:val="left" w:pos="1800"/>
        </w:tabs>
        <w:spacing w:after="100"/>
        <w:ind w:left="1800" w:hanging="1440"/>
      </w:pPr>
      <w:r>
        <w:rPr>
          <w:rFonts w:ascii="Arial" w:cs="Arial" w:eastAsia="Arial" w:hAnsi="Arial"/>
          <w:b/>
          <w:bCs/>
          <w:sz w:val="20"/>
          <w:szCs w:val="20"/>
        </w:rPr>
        <w:t xml:space="preserve">2023–2024</w:t>
      </w:r>
      <w:r>
        <w:rPr>
          <w:rFonts w:ascii="Arial" w:cs="Arial" w:eastAsia="Arial" w:hAnsi="Arial"/>
          <w:sz w:val="20"/>
          <w:szCs w:val="20"/>
        </w:rPr>
        <w:t xml:space="preserve">	</w:t>
      </w:r>
      <w:r>
        <w:rPr>
          <w:rFonts w:ascii="Arial" w:cs="Arial" w:eastAsia="Arial" w:hAnsi="Arial"/>
          <w:color w:val="000000"/>
          <w:sz w:val="20"/>
          <w:szCs w:val="20"/>
        </w:rPr>
        <w:t xml:space="preserve">Chair, Sessional Travel Fund Committee, The Faculty Association of the University of Calgary.</w:t>
      </w:r>
    </w:p>
    <w:p>
      <w:pPr>
        <w:tabs>
          <w:tab w:val="left" w:pos="1800"/>
        </w:tabs>
        <w:spacing w:after="100"/>
        <w:ind w:left="1800" w:hanging="1440"/>
      </w:pPr>
      <w:r>
        <w:rPr>
          <w:rFonts w:ascii="Arial" w:cs="Arial" w:eastAsia="Arial" w:hAnsi="Arial"/>
          <w:b/>
          <w:bCs/>
          <w:sz w:val="20"/>
          <w:szCs w:val="20"/>
        </w:rPr>
        <w:t xml:space="preserve">2023–2024</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Promotion and Tenure Committee.</w:t>
      </w:r>
    </w:p>
    <w:p>
      <w:pPr>
        <w:tabs>
          <w:tab w:val="left" w:pos="1800"/>
        </w:tabs>
        <w:spacing w:after="100"/>
        <w:ind w:left="1800" w:hanging="1440"/>
      </w:pPr>
      <w:r>
        <w:rPr>
          <w:rFonts w:ascii="Arial" w:cs="Arial" w:eastAsia="Arial" w:hAnsi="Arial"/>
          <w:b/>
          <w:bCs/>
          <w:sz w:val="20"/>
          <w:szCs w:val="20"/>
        </w:rPr>
        <w:t xml:space="preserve">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Faculty Assessment Committee.</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Faculty of Libraries and Cultural Resources Promotion and Tenure Committee.</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TUCFA Representative, Research and Scholarship Committee, General Faculties Council.</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TUCFA Representative, Dean Search Committee, School of Architecture, Planning, and Landscape.</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Adjudicator, Graduate Award Competition, Faculty of Graduate Studies, University of Calgary.</w:t>
      </w:r>
    </w:p>
    <w:p>
      <w:pPr>
        <w:tabs>
          <w:tab w:val="left" w:pos="1800"/>
        </w:tabs>
        <w:spacing w:after="100"/>
        <w:ind w:left="1800" w:hanging="1440"/>
      </w:pPr>
      <w:r>
        <w:rPr>
          <w:rFonts w:ascii="Arial" w:cs="Arial" w:eastAsia="Arial" w:hAnsi="Arial"/>
          <w:b/>
          <w:bCs/>
          <w:sz w:val="20"/>
          <w:szCs w:val="20"/>
        </w:rPr>
        <w:t xml:space="preserve">2021–2024</w:t>
      </w:r>
      <w:r>
        <w:rPr>
          <w:rFonts w:ascii="Arial" w:cs="Arial" w:eastAsia="Arial" w:hAnsi="Arial"/>
          <w:sz w:val="20"/>
          <w:szCs w:val="20"/>
        </w:rPr>
        <w:t xml:space="preserve">	</w:t>
      </w:r>
      <w:r>
        <w:rPr>
          <w:rFonts w:ascii="Arial" w:cs="Arial" w:eastAsia="Arial" w:hAnsi="Arial"/>
          <w:color w:val="000000"/>
          <w:sz w:val="20"/>
          <w:szCs w:val="20"/>
        </w:rPr>
        <w:t xml:space="preserve">Elected Member, Board of Directors, The Faculty Association of the University of Calgary.</w:t>
      </w:r>
    </w:p>
    <w:p>
      <w:pPr>
        <w:tabs>
          <w:tab w:val="left" w:pos="1800"/>
        </w:tabs>
        <w:spacing w:after="100"/>
        <w:ind w:left="1800" w:hanging="1440"/>
      </w:pPr>
      <w:r>
        <w:rPr>
          <w:rFonts w:ascii="Arial" w:cs="Arial" w:eastAsia="Arial" w:hAnsi="Arial"/>
          <w:b/>
          <w:bCs/>
          <w:sz w:val="20"/>
          <w:szCs w:val="20"/>
        </w:rPr>
        <w:t xml:space="preserve">2020–2022</w:t>
      </w:r>
      <w:r>
        <w:rPr>
          <w:rFonts w:ascii="Arial" w:cs="Arial" w:eastAsia="Arial" w:hAnsi="Arial"/>
          <w:sz w:val="20"/>
          <w:szCs w:val="20"/>
        </w:rPr>
        <w:t xml:space="preserve">	</w:t>
      </w:r>
      <w:r>
        <w:rPr>
          <w:rFonts w:ascii="Arial" w:cs="Arial" w:eastAsia="Arial" w:hAnsi="Arial"/>
          <w:color w:val="000000"/>
          <w:sz w:val="20"/>
          <w:szCs w:val="20"/>
        </w:rPr>
        <w:t xml:space="preserve">Elected Member, Faculty of Arts Faculty Promotion and Tenure Committee, University of Calgary.</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Faculty Representative, Convocation Sub-Committee, University of Victoria.</w:t>
      </w:r>
    </w:p>
    <w:p>
      <w:pPr>
        <w:tabs>
          <w:tab w:val="left" w:pos="1800"/>
        </w:tabs>
        <w:spacing w:after="100"/>
        <w:ind w:left="1800" w:hanging="1440"/>
      </w:pPr>
      <w:r>
        <w:rPr>
          <w:rFonts w:ascii="Arial" w:cs="Arial" w:eastAsia="Arial" w:hAnsi="Arial"/>
          <w:b/>
          <w:bCs/>
          <w:sz w:val="20"/>
          <w:szCs w:val="20"/>
        </w:rPr>
        <w:t xml:space="preserve">2015</w:t>
      </w:r>
      <w:r>
        <w:rPr>
          <w:rFonts w:ascii="Arial" w:cs="Arial" w:eastAsia="Arial" w:hAnsi="Arial"/>
          <w:sz w:val="20"/>
          <w:szCs w:val="20"/>
        </w:rPr>
        <w:t xml:space="preserve">	</w:t>
      </w:r>
      <w:r>
        <w:rPr>
          <w:rFonts w:ascii="Arial" w:cs="Arial" w:eastAsia="Arial" w:hAnsi="Arial"/>
          <w:color w:val="000000"/>
          <w:sz w:val="20"/>
          <w:szCs w:val="20"/>
        </w:rPr>
        <w:t xml:space="preserve">Member, School of Public Administration Director Selection Committee, University of Victoria.</w:t>
      </w:r>
    </w:p>
    <w:p>
      <w:pPr>
        <w:tabs>
          <w:tab w:val="left" w:pos="1800"/>
        </w:tabs>
        <w:spacing w:after="100"/>
        <w:ind w:left="1800" w:hanging="1440"/>
      </w:pPr>
      <w:r>
        <w:rPr>
          <w:rFonts w:ascii="Arial" w:cs="Arial" w:eastAsia="Arial" w:hAnsi="Arial"/>
          <w:b/>
          <w:bCs/>
          <w:sz w:val="20"/>
          <w:szCs w:val="20"/>
        </w:rPr>
        <w:t xml:space="preserve">2008–2011</w:t>
      </w:r>
      <w:r>
        <w:rPr>
          <w:rFonts w:ascii="Arial" w:cs="Arial" w:eastAsia="Arial" w:hAnsi="Arial"/>
          <w:sz w:val="20"/>
          <w:szCs w:val="20"/>
        </w:rPr>
        <w:t xml:space="preserve">	</w:t>
      </w:r>
      <w:r>
        <w:rPr>
          <w:rFonts w:ascii="Arial" w:cs="Arial" w:eastAsia="Arial" w:hAnsi="Arial"/>
          <w:color w:val="000000"/>
          <w:sz w:val="20"/>
          <w:szCs w:val="20"/>
        </w:rPr>
        <w:t xml:space="preserve">Member, Internal Research Grants Selection Committee (2008, 2010, 2011).</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Educational/Instructional Technology Working Group,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Member, Research Data Center Users Working Group, University of Victoria.</w:t>
      </w:r>
    </w:p>
    <w:p>
      <w:pPr>
        <w:tabs>
          <w:tab w:val="left" w:pos="1800"/>
        </w:tabs>
        <w:spacing w:after="100"/>
        <w:ind w:left="1800" w:hanging="1440"/>
      </w:pPr>
      <w:r>
        <w:rPr>
          <w:rFonts w:ascii="Arial" w:cs="Arial" w:eastAsia="Arial" w:hAnsi="Arial"/>
          <w:b/>
          <w:bCs/>
          <w:sz w:val="20"/>
          <w:szCs w:val="20"/>
        </w:rPr>
        <w:t xml:space="preserve">2007–2008</w:t>
      </w:r>
      <w:r>
        <w:rPr>
          <w:rFonts w:ascii="Arial" w:cs="Arial" w:eastAsia="Arial" w:hAnsi="Arial"/>
          <w:sz w:val="20"/>
          <w:szCs w:val="20"/>
        </w:rPr>
        <w:t xml:space="preserve">	</w:t>
      </w:r>
      <w:r>
        <w:rPr>
          <w:rFonts w:ascii="Arial" w:cs="Arial" w:eastAsia="Arial" w:hAnsi="Arial"/>
          <w:color w:val="000000"/>
          <w:sz w:val="20"/>
          <w:szCs w:val="20"/>
        </w:rPr>
        <w:t xml:space="preserve">Member, Libraries Data Services Working Group, University of Victoria.</w:t>
      </w:r>
    </w:p>
    <w:p>
      <w:pPr>
        <w:spacing w:after="80" w:before="160"/>
      </w:pPr>
      <w:r>
        <w:rPr>
          <w:rFonts w:ascii="Arial" w:cs="Arial" w:eastAsia="Arial" w:hAnsi="Arial"/>
          <w:b/>
          <w:bCs/>
          <w:color w:val="404040"/>
          <w:sz w:val="22"/>
          <w:szCs w:val="22"/>
        </w:rPr>
        <w:t xml:space="preserve">Departmental and School</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Author, "The Non-Academic Economist Job Market: A Guide for PhD Students," prepared for the 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2026–2027</w:t>
      </w:r>
      <w:r>
        <w:rPr>
          <w:rFonts w:ascii="Arial" w:cs="Arial" w:eastAsia="Arial" w:hAnsi="Arial"/>
          <w:sz w:val="20"/>
          <w:szCs w:val="20"/>
        </w:rPr>
        <w:t xml:space="preserve">	</w:t>
      </w:r>
      <w:r>
        <w:rPr>
          <w:rFonts w:ascii="Arial" w:cs="Arial" w:eastAsia="Arial" w:hAnsi="Arial"/>
          <w:color w:val="000000"/>
          <w:sz w:val="20"/>
          <w:szCs w:val="20"/>
        </w:rPr>
        <w:t xml:space="preserve">Social Media Content and Strategy Lead, Department of Economics,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Social Media Content and Strategy Lead, Department of Economics, University of Calgary.</w:t>
      </w:r>
    </w:p>
    <w:p>
      <w:pPr>
        <w:tabs>
          <w:tab w:val="left" w:pos="1800"/>
        </w:tabs>
        <w:spacing w:after="100"/>
        <w:ind w:left="1800" w:hanging="1440"/>
      </w:pPr>
      <w:r>
        <w:rPr>
          <w:rFonts w:ascii="Arial" w:cs="Arial" w:eastAsia="Arial" w:hAnsi="Arial"/>
          <w:b/>
          <w:bCs/>
          <w:sz w:val="20"/>
          <w:szCs w:val="20"/>
        </w:rPr>
        <w:t xml:space="preserve">2026</w:t>
      </w:r>
      <w:r>
        <w:rPr>
          <w:rFonts w:ascii="Arial" w:cs="Arial" w:eastAsia="Arial" w:hAnsi="Arial"/>
          <w:sz w:val="20"/>
          <w:szCs w:val="20"/>
        </w:rPr>
        <w:t xml:space="preserve">	</w:t>
      </w:r>
      <w:r>
        <w:rPr>
          <w:rFonts w:ascii="Arial" w:cs="Arial" w:eastAsia="Arial" w:hAnsi="Arial"/>
          <w:color w:val="000000"/>
          <w:sz w:val="20"/>
          <w:szCs w:val="20"/>
        </w:rPr>
        <w:t xml:space="preserve">Department of Economics Representative, The University of Calgary Faculty Association.</w:t>
      </w:r>
    </w:p>
    <w:p>
      <w:pPr>
        <w:tabs>
          <w:tab w:val="left" w:pos="1800"/>
        </w:tabs>
        <w:spacing w:after="100"/>
        <w:ind w:left="1800" w:hanging="1440"/>
      </w:pPr>
      <w:r>
        <w:rPr>
          <w:rFonts w:ascii="Arial" w:cs="Arial" w:eastAsia="Arial" w:hAnsi="Arial"/>
          <w:b/>
          <w:bCs/>
          <w:sz w:val="20"/>
          <w:szCs w:val="20"/>
        </w:rPr>
        <w:t xml:space="preserve">2024</w:t>
      </w:r>
      <w:r>
        <w:rPr>
          <w:rFonts w:ascii="Arial" w:cs="Arial" w:eastAsia="Arial" w:hAnsi="Arial"/>
          <w:sz w:val="20"/>
          <w:szCs w:val="20"/>
        </w:rPr>
        <w:t xml:space="preserve">	</w:t>
      </w:r>
      <w:r>
        <w:rPr>
          <w:rFonts w:ascii="Arial" w:cs="Arial" w:eastAsia="Arial" w:hAnsi="Arial"/>
          <w:color w:val="000000"/>
          <w:sz w:val="20"/>
          <w:szCs w:val="20"/>
        </w:rPr>
        <w:t xml:space="preserve">Member, Undergraduate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Equity, Diversity, and Inclusion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Research and Seminar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2022–2023</w:t>
      </w:r>
      <w:r>
        <w:rPr>
          <w:rFonts w:ascii="Arial" w:cs="Arial" w:eastAsia="Arial" w:hAnsi="Arial"/>
          <w:sz w:val="20"/>
          <w:szCs w:val="20"/>
        </w:rPr>
        <w:t xml:space="preserve">	</w:t>
      </w:r>
      <w:r>
        <w:rPr>
          <w:rFonts w:ascii="Arial" w:cs="Arial" w:eastAsia="Arial" w:hAnsi="Arial"/>
          <w:color w:val="000000"/>
          <w:sz w:val="20"/>
          <w:szCs w:val="20"/>
        </w:rPr>
        <w:t xml:space="preserve">Member, Microeconomics Field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2022</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2019–2021</w:t>
      </w:r>
      <w:r>
        <w:rPr>
          <w:rFonts w:ascii="Arial" w:cs="Arial" w:eastAsia="Arial" w:hAnsi="Arial"/>
          <w:sz w:val="20"/>
          <w:szCs w:val="20"/>
        </w:rPr>
        <w:t xml:space="preserve">	</w:t>
      </w:r>
      <w:r>
        <w:rPr>
          <w:rFonts w:ascii="Arial" w:cs="Arial" w:eastAsia="Arial" w:hAnsi="Arial"/>
          <w:color w:val="000000"/>
          <w:sz w:val="20"/>
          <w:szCs w:val="20"/>
        </w:rPr>
        <w:t xml:space="preserve">Member, Newsletter Committee, Department of Economics, University of Calgary.</w:t>
      </w:r>
    </w:p>
    <w:p>
      <w:pPr>
        <w:tabs>
          <w:tab w:val="left" w:pos="1800"/>
        </w:tabs>
        <w:spacing w:after="100"/>
        <w:ind w:left="180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Scientific Director, School of Public Policy, University of Calgary.</w:t>
      </w:r>
    </w:p>
    <w:p>
      <w:pPr>
        <w:tabs>
          <w:tab w:val="left" w:pos="1800"/>
        </w:tabs>
        <w:spacing w:after="100"/>
        <w:ind w:left="1800" w:hanging="1440"/>
      </w:pPr>
      <w:r>
        <w:rPr>
          <w:rFonts w:ascii="Arial" w:cs="Arial" w:eastAsia="Arial" w:hAnsi="Arial"/>
          <w:b/>
          <w:bCs/>
          <w:sz w:val="20"/>
          <w:szCs w:val="20"/>
        </w:rPr>
        <w:t xml:space="preserve">2018–2023</w:t>
      </w:r>
      <w:r>
        <w:rPr>
          <w:rFonts w:ascii="Arial" w:cs="Arial" w:eastAsia="Arial" w:hAnsi="Arial"/>
          <w:sz w:val="20"/>
          <w:szCs w:val="20"/>
        </w:rPr>
        <w:t xml:space="preserve">	</w:t>
      </w:r>
      <w:r>
        <w:rPr>
          <w:rFonts w:ascii="Arial" w:cs="Arial" w:eastAsia="Arial" w:hAnsi="Arial"/>
          <w:color w:val="000000"/>
          <w:sz w:val="20"/>
          <w:szCs w:val="20"/>
        </w:rPr>
        <w:t xml:space="preserve">Section Editor, The School of Public Policy Publications,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Executive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2018–present</w:t>
      </w:r>
      <w:r>
        <w:rPr>
          <w:rFonts w:ascii="Arial" w:cs="Arial" w:eastAsia="Arial" w:hAnsi="Arial"/>
          <w:sz w:val="20"/>
          <w:szCs w:val="20"/>
        </w:rPr>
        <w:t xml:space="preserve">	</w:t>
      </w:r>
      <w:r>
        <w:rPr>
          <w:rFonts w:ascii="Arial" w:cs="Arial" w:eastAsia="Arial" w:hAnsi="Arial"/>
          <w:color w:val="000000"/>
          <w:sz w:val="20"/>
          <w:szCs w:val="20"/>
        </w:rPr>
        <w:t xml:space="preserve">Member, Research Planning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2018–2020</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Member, Engagement Committee, School of Public Policy, University of Calgary.</w:t>
      </w:r>
    </w:p>
    <w:p>
      <w:pPr>
        <w:tabs>
          <w:tab w:val="left" w:pos="1800"/>
        </w:tabs>
        <w:spacing w:after="100"/>
        <w:ind w:left="1800" w:hanging="1440"/>
      </w:pPr>
      <w:r>
        <w:rPr>
          <w:rFonts w:ascii="Arial" w:cs="Arial" w:eastAsia="Arial" w:hAnsi="Arial"/>
          <w:b/>
          <w:bCs/>
          <w:sz w:val="20"/>
          <w:szCs w:val="20"/>
        </w:rPr>
        <w:t xml:space="preserve">2018–2019</w:t>
      </w:r>
      <w:r>
        <w:rPr>
          <w:rFonts w:ascii="Arial" w:cs="Arial" w:eastAsia="Arial" w:hAnsi="Arial"/>
          <w:sz w:val="20"/>
          <w:szCs w:val="20"/>
        </w:rPr>
        <w:t xml:space="preserve">	</w:t>
      </w:r>
      <w:r>
        <w:rPr>
          <w:rFonts w:ascii="Arial" w:cs="Arial" w:eastAsia="Arial" w:hAnsi="Arial"/>
          <w:color w:val="000000"/>
          <w:sz w:val="20"/>
          <w:szCs w:val="20"/>
        </w:rPr>
        <w:t xml:space="preserve">Member, Energy and Environment Hiring Committee, School of Public Policy/Haskayne School of Business.</w:t>
      </w:r>
    </w:p>
    <w:p>
      <w:pPr>
        <w:tabs>
          <w:tab w:val="left" w:pos="1800"/>
        </w:tabs>
        <w:spacing w:after="100"/>
        <w:ind w:left="1800" w:hanging="1440"/>
      </w:pPr>
      <w:r>
        <w:rPr>
          <w:rFonts w:ascii="Arial" w:cs="Arial" w:eastAsia="Arial" w:hAnsi="Arial"/>
          <w:b/>
          <w:bCs/>
          <w:sz w:val="20"/>
          <w:szCs w:val="20"/>
        </w:rPr>
        <w:t xml:space="preserve">2017–2018</w:t>
      </w:r>
      <w:r>
        <w:rPr>
          <w:rFonts w:ascii="Arial" w:cs="Arial" w:eastAsia="Arial" w:hAnsi="Arial"/>
          <w:sz w:val="20"/>
          <w:szCs w:val="20"/>
        </w:rPr>
        <w:t xml:space="preserve">	</w:t>
      </w:r>
      <w:r>
        <w:rPr>
          <w:rFonts w:ascii="Arial" w:cs="Arial" w:eastAsia="Arial" w:hAnsi="Arial"/>
          <w:color w:val="000000"/>
          <w:sz w:val="20"/>
          <w:szCs w:val="20"/>
        </w:rPr>
        <w:t xml:space="preserve">Chair, Curriculum Review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Member, Failing Grade Review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Chair, Governing Council,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2016–2017</w:t>
      </w:r>
      <w:r>
        <w:rPr>
          <w:rFonts w:ascii="Arial" w:cs="Arial" w:eastAsia="Arial" w:hAnsi="Arial"/>
          <w:sz w:val="20"/>
          <w:szCs w:val="20"/>
        </w:rPr>
        <w:t xml:space="preserve">	</w:t>
      </w:r>
      <w:r>
        <w:rPr>
          <w:rFonts w:ascii="Arial" w:cs="Arial" w:eastAsia="Arial" w:hAnsi="Arial"/>
          <w:color w:val="000000"/>
          <w:sz w:val="20"/>
          <w:szCs w:val="20"/>
        </w:rPr>
        <w:t xml:space="preserve">Chair, Management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2012–2014</w:t>
      </w:r>
      <w:r>
        <w:rPr>
          <w:rFonts w:ascii="Arial" w:cs="Arial" w:eastAsia="Arial" w:hAnsi="Arial"/>
          <w:sz w:val="20"/>
          <w:szCs w:val="20"/>
        </w:rPr>
        <w:t xml:space="preserve">	</w:t>
      </w:r>
      <w:r>
        <w:rPr>
          <w:rFonts w:ascii="Arial" w:cs="Arial" w:eastAsia="Arial" w:hAnsi="Arial"/>
          <w:color w:val="000000"/>
          <w:sz w:val="20"/>
          <w:szCs w:val="20"/>
        </w:rPr>
        <w:t xml:space="preserve">Member, Curriculum Development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2011</w:t>
      </w:r>
      <w:r>
        <w:rPr>
          <w:rFonts w:ascii="Arial" w:cs="Arial" w:eastAsia="Arial" w:hAnsi="Arial"/>
          <w:sz w:val="20"/>
          <w:szCs w:val="20"/>
        </w:rPr>
        <w:t xml:space="preserve">	</w:t>
      </w:r>
      <w:r>
        <w:rPr>
          <w:rFonts w:ascii="Arial" w:cs="Arial" w:eastAsia="Arial" w:hAnsi="Arial"/>
          <w:color w:val="000000"/>
          <w:sz w:val="20"/>
          <w:szCs w:val="20"/>
        </w:rPr>
        <w:t xml:space="preserve">Academic Integrity Advisor,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Qualitative Methods Hiring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2010</w:t>
      </w:r>
      <w:r>
        <w:rPr>
          <w:rFonts w:ascii="Arial" w:cs="Arial" w:eastAsia="Arial" w:hAnsi="Arial"/>
          <w:sz w:val="20"/>
          <w:szCs w:val="20"/>
        </w:rPr>
        <w:t xml:space="preserve">	</w:t>
      </w:r>
      <w:r>
        <w:rPr>
          <w:rFonts w:ascii="Arial" w:cs="Arial" w:eastAsia="Arial" w:hAnsi="Arial"/>
          <w:color w:val="000000"/>
          <w:sz w:val="20"/>
          <w:szCs w:val="20"/>
        </w:rPr>
        <w:t xml:space="preserve">Member, Economics and Financial Accounting Hiring Committee, Department of Economics &amp; School of Business, University of Victoria.</w:t>
      </w:r>
    </w:p>
    <w:p>
      <w:pPr>
        <w:tabs>
          <w:tab w:val="left" w:pos="1800"/>
        </w:tabs>
        <w:spacing w:after="100"/>
        <w:ind w:left="1800" w:hanging="1440"/>
      </w:pPr>
      <w:r>
        <w:rPr>
          <w:rFonts w:ascii="Arial" w:cs="Arial" w:eastAsia="Arial" w:hAnsi="Arial"/>
          <w:b/>
          <w:bCs/>
          <w:sz w:val="20"/>
          <w:szCs w:val="20"/>
        </w:rPr>
        <w:t xml:space="preserve">2008</w:t>
      </w:r>
      <w:r>
        <w:rPr>
          <w:rFonts w:ascii="Arial" w:cs="Arial" w:eastAsia="Arial" w:hAnsi="Arial"/>
          <w:sz w:val="20"/>
          <w:szCs w:val="20"/>
        </w:rPr>
        <w:t xml:space="preserve">	</w:t>
      </w:r>
      <w:r>
        <w:rPr>
          <w:rFonts w:ascii="Arial" w:cs="Arial" w:eastAsia="Arial" w:hAnsi="Arial"/>
          <w:color w:val="000000"/>
          <w:sz w:val="20"/>
          <w:szCs w:val="20"/>
        </w:rPr>
        <w:t xml:space="preserve">Coordinator, Ph.D. Seminar,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2007–2015</w:t>
      </w:r>
      <w:r>
        <w:rPr>
          <w:rFonts w:ascii="Arial" w:cs="Arial" w:eastAsia="Arial" w:hAnsi="Arial"/>
          <w:sz w:val="20"/>
          <w:szCs w:val="20"/>
        </w:rPr>
        <w:t xml:space="preserve">	</w:t>
      </w:r>
      <w:r>
        <w:rPr>
          <w:rFonts w:ascii="Arial" w:cs="Arial" w:eastAsia="Arial" w:hAnsi="Arial"/>
          <w:color w:val="000000"/>
          <w:sz w:val="20"/>
          <w:szCs w:val="20"/>
        </w:rPr>
        <w:t xml:space="preserve">Member, Graduate Committee,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2007–2015</w:t>
      </w:r>
      <w:r>
        <w:rPr>
          <w:rFonts w:ascii="Arial" w:cs="Arial" w:eastAsia="Arial" w:hAnsi="Arial"/>
          <w:sz w:val="20"/>
          <w:szCs w:val="20"/>
        </w:rPr>
        <w:t xml:space="preserve">	</w:t>
      </w:r>
      <w:r>
        <w:rPr>
          <w:rFonts w:ascii="Arial" w:cs="Arial" w:eastAsia="Arial" w:hAnsi="Arial"/>
          <w:color w:val="000000"/>
          <w:sz w:val="20"/>
          <w:szCs w:val="20"/>
        </w:rPr>
        <w:t xml:space="preserve">Member, Governing Council, School of Public Administration, University of Victoria.</w:t>
      </w:r>
    </w:p>
    <w:p>
      <w:pPr>
        <w:tabs>
          <w:tab w:val="left" w:pos="1800"/>
        </w:tabs>
        <w:spacing w:after="100"/>
        <w:ind w:left="1800" w:hanging="1440"/>
      </w:pPr>
      <w:r>
        <w:rPr>
          <w:rFonts w:ascii="Arial" w:cs="Arial" w:eastAsia="Arial" w:hAnsi="Arial"/>
          <w:b/>
          <w:bCs/>
          <w:sz w:val="20"/>
          <w:szCs w:val="20"/>
        </w:rPr>
        <w:t xml:space="preserve">2006–2007</w:t>
      </w:r>
      <w:r>
        <w:rPr>
          <w:rFonts w:ascii="Arial" w:cs="Arial" w:eastAsia="Arial" w:hAnsi="Arial"/>
          <w:sz w:val="20"/>
          <w:szCs w:val="20"/>
        </w:rPr>
        <w:t xml:space="preserve">	</w:t>
      </w:r>
      <w:r>
        <w:rPr>
          <w:rFonts w:ascii="Arial" w:cs="Arial" w:eastAsia="Arial" w:hAnsi="Arial"/>
          <w:color w:val="000000"/>
          <w:sz w:val="20"/>
          <w:szCs w:val="20"/>
        </w:rPr>
        <w:t xml:space="preserve">Chair, Applied Econometrics &amp; Applied Microeconomics PhD Field Committee, Department of Economics, University of Manitoba.</w:t>
      </w:r>
    </w:p>
    <w:p>
      <w:pPr>
        <w:tabs>
          <w:tab w:val="left" w:pos="1800"/>
        </w:tabs>
        <w:spacing w:after="100"/>
        <w:ind w:left="1800" w:hanging="1440"/>
      </w:pPr>
      <w:r>
        <w:rPr>
          <w:rFonts w:ascii="Arial" w:cs="Arial" w:eastAsia="Arial" w:hAnsi="Arial"/>
          <w:b/>
          <w:bCs/>
          <w:sz w:val="20"/>
          <w:szCs w:val="20"/>
        </w:rPr>
        <w:t xml:space="preserve">2006–2007</w:t>
      </w:r>
      <w:r>
        <w:rPr>
          <w:rFonts w:ascii="Arial" w:cs="Arial" w:eastAsia="Arial" w:hAnsi="Arial"/>
          <w:sz w:val="20"/>
          <w:szCs w:val="20"/>
        </w:rPr>
        <w:t xml:space="preserve">	</w:t>
      </w:r>
      <w:r>
        <w:rPr>
          <w:rFonts w:ascii="Arial" w:cs="Arial" w:eastAsia="Arial" w:hAnsi="Arial"/>
          <w:color w:val="000000"/>
          <w:sz w:val="20"/>
          <w:szCs w:val="20"/>
        </w:rPr>
        <w:t xml:space="preserve">Member, Research Workshop Graduate Committee, Department of Economics, University of Manitoba.</w:t>
      </w:r>
    </w:p>
    <w:p>
      <w:pPr>
        <w:tabs>
          <w:tab w:val="left" w:pos="1800"/>
        </w:tabs>
        <w:spacing w:after="100"/>
        <w:ind w:left="1800" w:hanging="1440"/>
      </w:pPr>
      <w:r>
        <w:rPr>
          <w:rFonts w:ascii="Arial" w:cs="Arial" w:eastAsia="Arial" w:hAnsi="Arial"/>
          <w:b/>
          <w:bCs/>
          <w:sz w:val="20"/>
          <w:szCs w:val="20"/>
        </w:rPr>
        <w:t xml:space="preserve">2005–2007</w:t>
      </w:r>
      <w:r>
        <w:rPr>
          <w:rFonts w:ascii="Arial" w:cs="Arial" w:eastAsia="Arial" w:hAnsi="Arial"/>
          <w:sz w:val="20"/>
          <w:szCs w:val="20"/>
        </w:rPr>
        <w:t xml:space="preserve">	</w:t>
      </w:r>
      <w:r>
        <w:rPr>
          <w:rFonts w:ascii="Arial" w:cs="Arial" w:eastAsia="Arial" w:hAnsi="Arial"/>
          <w:color w:val="000000"/>
          <w:sz w:val="20"/>
          <w:szCs w:val="20"/>
        </w:rPr>
        <w:t xml:space="preserve">Member, Honours Program, Department of Economics, University of Manitoba.</w:t>
      </w:r>
    </w:p>
    <w:p>
      <w:pPr>
        <w:pBdr>
          <w:bottom w:val="single" w:color="AAAAAA" w:sz="6" w:space="4"/>
        </w:pBdr>
        <w:spacing w:after="120" w:before="240"/>
      </w:pPr>
      <w:r>
        <w:rPr>
          <w:rFonts w:ascii="Arial" w:cs="Arial" w:eastAsia="Arial" w:hAnsi="Arial"/>
          <w:b/>
          <w:bCs/>
          <w:color w:val="1F3864"/>
          <w:sz w:val="26"/>
          <w:szCs w:val="26"/>
        </w:rPr>
        <w:t xml:space="preserve">OTHER</w:t>
      </w:r>
    </w:p>
    <w:p>
      <w:pPr>
        <w:spacing w:after="100"/>
      </w:pPr>
      <w:r>
        <w:rPr>
          <w:rFonts w:ascii="Arial" w:cs="Arial" w:eastAsia="Arial" w:hAnsi="Arial"/>
          <w:color w:val="000000"/>
          <w:sz w:val="20"/>
          <w:szCs w:val="20"/>
        </w:rPr>
        <w:t xml:space="preserve">Regularly provide solicited advice, guidance, and information to various members of Canadian governments.</w:t>
      </w:r>
    </w:p>
    <w:p>
      <w:pPr>
        <w:spacing w:after="100"/>
      </w:pPr>
      <w:r>
        <w:rPr>
          <w:rFonts w:ascii="Arial" w:cs="Arial" w:eastAsia="Arial" w:hAnsi="Arial"/>
          <w:color w:val="000000"/>
          <w:sz w:val="20"/>
          <w:szCs w:val="20"/>
        </w:rPr>
        <w:t xml:space="preserve">Regularly appear on television, radio, podcasts, in print, and other forums, providing economic commentary on current events. Typically 50+ appearances in a standard year, and 100+ in an election year.</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8"/>
        <w:szCs w:val="18"/>
      </w:rPr>
      <w:fldChar w:fldCharType="begin"/>
    </w:r>
    <w:r>
      <w:rPr>
        <w:rFonts w:ascii="Arial" w:cs="Arial" w:eastAsia="Arial" w:hAnsi="Arial"/>
        <w:color w:val="AAAAAA"/>
        <w:sz w:val="18"/>
        <w:szCs w:val="18"/>
      </w:rPr>
      <w:instrText xml:space="preserve">PAGE</w:instrText>
    </w:r>
    <w:r>
      <w:rPr>
        <w:rFonts w:ascii="Arial" w:cs="Arial" w:eastAsia="Arial" w:hAnsi="Arial"/>
        <w:color w:val="AAAAAA"/>
        <w:sz w:val="18"/>
        <w:szCs w:val="18"/>
      </w:rPr>
      <w:fldChar w:fldCharType="separate"/>
    </w:r>
    <w:r>
      <w:rPr>
        <w:rFonts w:ascii="Arial" w:cs="Arial" w:eastAsia="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2026-10-22T19:31:18.724Z</dcterms:created>
  <dcterms:modified xsi:type="dcterms:W3CDTF">2026-10-22T19:31:18.725Z</dcterms:modified>
</cp:coreProperties>
</file>

<file path=docProps/custom.xml><?xml version="1.0" encoding="utf-8"?>
<Properties xmlns="http://schemas.openxmlformats.org/officeDocument/2006/custom-properties" xmlns:vt="http://schemas.openxmlformats.org/officeDocument/2006/docPropsVTypes"/>
</file>