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ynmau0fmtwu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8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PONTIFICIA‌ ‌UNIVERSIDAD‌ ‌CATÓLICA‌ ‌DEL‌ ‌PERÚ</w:t>
      </w:r>
    </w:p>
    <w:p w:rsidR="00000000" w:rsidDel="00000000" w:rsidP="00000000" w:rsidRDefault="00000000" w:rsidRPr="00000000" w14:paraId="00000003">
      <w:pPr>
        <w:shd w:fill="ffffff" w:val="clear"/>
        <w:ind w:left="-283.4645669291338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4">
      <w:pPr>
        <w:shd w:fill="ffffff" w:val="clear"/>
        <w:ind w:left="-283.464566929133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798987" cy="1806948"/>
            <wp:effectExtent b="0" l="0" r="0" t="0"/>
            <wp:docPr descr="Logotipo&#10;&#10;Descripción generada automáticamente" id="2" name="image1.jp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987" cy="180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ind w:left="-283.4645669291338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Entregable 2: Recolección y preprocesamiento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Curso</w:t>
        <w:tab/>
        <w:tab/>
        <w:tab/>
        <w:t xml:space="preserve">:</w:t>
        <w:tab/>
        <w:t xml:space="preserve">[1INF61] Temas Avanzados de Inteligencia Artificial</w:t>
      </w:r>
    </w:p>
    <w:p w:rsidR="00000000" w:rsidDel="00000000" w:rsidP="00000000" w:rsidRDefault="00000000" w:rsidRPr="00000000" w14:paraId="00000007">
      <w:pPr>
        <w:shd w:fill="ffffff" w:val="clear"/>
        <w:ind w:firstLine="720"/>
        <w:rPr/>
      </w:pPr>
      <w:r w:rsidDel="00000000" w:rsidR="00000000" w:rsidRPr="00000000">
        <w:rPr>
          <w:rtl w:val="0"/>
        </w:rPr>
        <w:t xml:space="preserve">Horario</w:t>
        <w:tab/>
        <w:tab/>
        <w:tab/>
        <w:t xml:space="preserve">:</w:t>
        <w:tab/>
        <w:t xml:space="preserve">1081</w:t>
      </w:r>
    </w:p>
    <w:p w:rsidR="00000000" w:rsidDel="00000000" w:rsidP="00000000" w:rsidRDefault="00000000" w:rsidRPr="00000000" w14:paraId="00000008">
      <w:pPr>
        <w:ind w:left="436.53543307086625" w:firstLine="283.46456692913375"/>
        <w:rPr/>
      </w:pPr>
      <w:r w:rsidDel="00000000" w:rsidR="00000000" w:rsidRPr="00000000">
        <w:rPr>
          <w:rtl w:val="0"/>
        </w:rPr>
        <w:t xml:space="preserve">Título</w:t>
        <w:tab/>
        <w:tab/>
        <w:tab/>
        <w:t xml:space="preserve">:</w:t>
        <w:tab/>
        <w:t xml:space="preserve">A Long-Short Term Transformer-based Spatio-temporal Neural Network for Traffic Flow Forecasting</w:t>
      </w:r>
    </w:p>
    <w:p w:rsidR="00000000" w:rsidDel="00000000" w:rsidP="00000000" w:rsidRDefault="00000000" w:rsidRPr="00000000" w14:paraId="00000009">
      <w:pPr>
        <w:ind w:left="436.53543307086625" w:firstLine="283.46456692913375"/>
        <w:rPr/>
      </w:pPr>
      <w:r w:rsidDel="00000000" w:rsidR="00000000" w:rsidRPr="00000000">
        <w:rPr>
          <w:rtl w:val="0"/>
        </w:rPr>
        <w:t xml:space="preserve">Número de grupo</w:t>
        <w:tab/>
        <w:t xml:space="preserve">:</w:t>
        <w:tab/>
        <w:t xml:space="preserve">5</w:t>
      </w:r>
    </w:p>
    <w:p w:rsidR="00000000" w:rsidDel="00000000" w:rsidP="00000000" w:rsidRDefault="00000000" w:rsidRPr="00000000" w14:paraId="0000000A">
      <w:pPr>
        <w:shd w:fill="ffffff" w:val="clear"/>
        <w:ind w:left="436.53543307086625" w:firstLine="283.46456692913375"/>
        <w:rPr/>
      </w:pPr>
      <w:r w:rsidDel="00000000" w:rsidR="00000000" w:rsidRPr="00000000">
        <w:rPr>
          <w:rtl w:val="0"/>
        </w:rPr>
        <w:t xml:space="preserve">Nombres y códigos</w:t>
        <w:tab/>
        <w:t xml:space="preserve">:</w:t>
      </w:r>
    </w:p>
    <w:tbl>
      <w:tblPr>
        <w:tblStyle w:val="Table1"/>
        <w:tblW w:w="6195.0" w:type="dxa"/>
        <w:jc w:val="left"/>
        <w:tblInd w:w="1081.5354330708665" w:type="dxa"/>
        <w:tblLayout w:type="fixed"/>
        <w:tblLook w:val="0600"/>
      </w:tblPr>
      <w:tblGrid>
        <w:gridCol w:w="4650"/>
        <w:gridCol w:w="1545"/>
        <w:tblGridChange w:id="0">
          <w:tblGrid>
            <w:gridCol w:w="4650"/>
            <w:gridCol w:w="1545"/>
          </w:tblGrid>
        </w:tblGridChange>
      </w:tblGrid>
      <w:tr>
        <w:trPr>
          <w:cantSplit w:val="0"/>
          <w:trHeight w:val="284.4677734374999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Huaripata Trujillo, Axel Edu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20190388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Chavez, Pedro Gabriel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20210466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Carrion Segura, Italo Marcelo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20221299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Chamorro Cayetano, Jorge Josue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20206234</w:t>
            </w:r>
          </w:p>
        </w:tc>
      </w:tr>
    </w:tbl>
    <w:p w:rsidR="00000000" w:rsidDel="00000000" w:rsidP="00000000" w:rsidRDefault="00000000" w:rsidRPr="00000000" w14:paraId="00000013">
      <w:pPr>
        <w:ind w:left="-283.464566929133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8" w:firstLine="0"/>
        <w:jc w:val="center"/>
        <w:rPr/>
      </w:pPr>
      <w:r w:rsidDel="00000000" w:rsidR="00000000" w:rsidRPr="00000000">
        <w:rPr>
          <w:rtl w:val="0"/>
        </w:rPr>
        <w:t xml:space="preserve">SEMESTRE 2026-1</w:t>
      </w:r>
    </w:p>
    <w:p w:rsidR="00000000" w:rsidDel="00000000" w:rsidP="00000000" w:rsidRDefault="00000000" w:rsidRPr="00000000" w14:paraId="00000016">
      <w:pPr>
        <w:ind w:left="-283.4645669291338" w:firstLine="0"/>
        <w:jc w:val="center"/>
        <w:rPr/>
      </w:pPr>
      <w:r w:rsidDel="00000000" w:rsidR="00000000" w:rsidRPr="00000000">
        <w:rPr>
          <w:rtl w:val="0"/>
        </w:rPr>
        <w:t xml:space="preserve">Viernes, 19 de Junio del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8" w:firstLine="0"/>
        <w:rPr/>
      </w:pPr>
      <w:r w:rsidDel="00000000" w:rsidR="00000000" w:rsidRPr="00000000">
        <w:rPr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3292530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right="0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ftqmn674u74">
            <w:r w:rsidDel="00000000" w:rsidR="00000000" w:rsidRPr="00000000">
              <w:rPr>
                <w:b w:val="1"/>
                <w:bCs w:val="1"/>
                <w:rtl w:val="0"/>
              </w:rPr>
              <w:t xml:space="preserve">1. Recolección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right="0"/>
            <w:jc w:val="left"/>
            <w:rPr>
              <w:rFonts w:ascii="Arial" w:cs="Arial" w:eastAsia="Arial" w:hAnsi="Arial"/>
              <w:b w:val="1"/>
              <w:bCs w:val="1"/>
            </w:rPr>
          </w:pPr>
          <w:hyperlink w:anchor="_nfga961pc6me">
            <w:r w:rsidDel="00000000" w:rsidR="00000000" w:rsidRPr="00000000">
              <w:rPr>
                <w:b w:val="1"/>
                <w:bCs w:val="1"/>
                <w:rtl w:val="0"/>
              </w:rPr>
              <w:t xml:space="preserve">2. Descripción del dataset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ind w:right="0"/>
            <w:jc w:val="left"/>
            <w:rPr>
              <w:rFonts w:ascii="Arial" w:cs="Arial" w:eastAsia="Arial" w:hAnsi="Arial"/>
              <w:b w:val="1"/>
              <w:bCs w:val="1"/>
            </w:rPr>
          </w:pPr>
          <w:hyperlink w:anchor="_ybcypulz5jez">
            <w:r w:rsidDel="00000000" w:rsidR="00000000" w:rsidRPr="00000000">
              <w:rPr>
                <w:b w:val="1"/>
                <w:bCs w:val="1"/>
                <w:rtl w:val="0"/>
              </w:rPr>
              <w:t xml:space="preserve">3. Preprocesamiento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ind w:right="0"/>
            <w:jc w:val="left"/>
            <w:rPr>
              <w:rFonts w:ascii="Arial" w:cs="Arial" w:eastAsia="Arial" w:hAnsi="Arial"/>
              <w:b w:val="1"/>
              <w:bCs w:val="1"/>
            </w:rPr>
          </w:pPr>
          <w:hyperlink w:anchor="_yrpcs9rg8h74">
            <w:r w:rsidDel="00000000" w:rsidR="00000000" w:rsidRPr="00000000">
              <w:rPr>
                <w:b w:val="1"/>
                <w:bCs w:val="1"/>
                <w:rtl w:val="0"/>
              </w:rPr>
              <w:t xml:space="preserve">4. Construcción del grafo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right="0"/>
            <w:jc w:val="left"/>
            <w:rPr>
              <w:rFonts w:ascii="Arial" w:cs="Arial" w:eastAsia="Arial" w:hAnsi="Arial"/>
              <w:b w:val="1"/>
              <w:bCs w:val="1"/>
            </w:rPr>
          </w:pPr>
          <w:hyperlink w:anchor="_zdjm35boob5p">
            <w:r w:rsidDel="00000000" w:rsidR="00000000" w:rsidRPr="00000000">
              <w:rPr>
                <w:b w:val="1"/>
                <w:bCs w:val="1"/>
                <w:rtl w:val="0"/>
              </w:rPr>
              <w:t xml:space="preserve">5. Análisis estructural del grafo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ind w:left="-283.46456692913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283.4645669291338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mftqmn674u74" w:id="1"/>
      <w:bookmarkEnd w:id="1"/>
      <w:r w:rsidDel="00000000" w:rsidR="00000000" w:rsidRPr="00000000">
        <w:rPr>
          <w:rtl w:val="0"/>
        </w:rPr>
        <w:t xml:space="preserve">1. Recolección de datos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 datos de PEMS-04 provienen de la red de sensores de tráfico Caltrans PeMS (Performance Measurement System) del distrito 4 (área de la Bahía de San Francisco), agregados en intervalos de 5 minutos. El conjunto fue curado y publicado por el grupo de LSTTN (Luo et al., 2024) en el mismo formato estandarizado que usan trabajos previos como ASTGCN y STSGCN, disponible en el Google Drive enlazado en su repositorio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https://github.com/GeoX-Lab/LSTTN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utilizaron dos archivos del conjunto crudo (raw_data/PEMS04/):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PEMS04.npz: tensor de tráfico con forma (T, N, C) = (16992, 307, 3), donde cada canal corresponde a flujo vehicular, ocupación y velocidad.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PEMS04.csv: lista de aristas con columnas “from”, “to”, “cost”, que describe la conectividad vial física entre sensores (costo/distancia entre pares de sensores consecutivos).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el análisis de estos datos, se utilizó un archivo de Google Colab que se encuentra en la sección de Anexos.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Limitaciones encontradas:</w:t>
      </w:r>
      <w:r w:rsidDel="00000000" w:rsidR="00000000" w:rsidRPr="00000000">
        <w:rPr>
          <w:rtl w:val="0"/>
        </w:rPr>
        <w:t xml:space="preserve"> el dataset no incluye coordenadas geográficas de los sensores (solo IDs y costos relativos), por lo que la visualización del grafo se hizo con un layout topológico (spring layout) y no con un mapa real. Una revisión del script oficial generate_adj_mx.py (incluido en los datos crudos) aclaró un punto importante: el grafo de PEMS-04 no se construye como dirigido a partir de PEMS04.csv, sino como no dirigido con self-loops. Por cada fila (i, j, distance) del CSV se marca la conexión en ambos sentidos (A[i,j]=1 y A[j,i]=1), y luego se suma la identidad (A + I) antes de usarla en el modelo. Esto explica exactamente la cifra de 987 aristas de la Tabla 1: 340 filas × 2 direcciones = 680, más 307 self-loops = 987. Por eso el grafo se redefine como no dirigido y ponderado (a diferencia de lo planteado inicialmente en la sección 1.5 del Entregable 1, que debe actualizarse en consecuencia).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nfga961pc6me" w:id="2"/>
      <w:bookmarkEnd w:id="2"/>
      <w:r w:rsidDel="00000000" w:rsidR="00000000" w:rsidRPr="00000000">
        <w:rPr>
          <w:rtl w:val="0"/>
        </w:rPr>
        <w:t xml:space="preserve">2. Descripción del dataset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El tensor crudo tiene T = 16992 pasos de tiempo (≈59 días a 5 minutos por paso), N = 307 sensores y C = 3 características. Las estadísticas descriptivas por canal se visualizan en la Tabla 1.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Desv. estándar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919.00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211.70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158.07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Ocupación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85.20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63.47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8.36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0" w:before="0" w:line="276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Tabla 1. Características por canal.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Los valores faltantes se identificaron como lecturas en cero: 1.59% de las observaciones en flujo y 1.59% en ocupación están en cero (ambos canales fallan simultáneamente, consistente con caídas puntuales del sensor), mientras que velocidad no presenta ceros (0.00%), lo que indica que el sensor sigue reportando velocidad incluso cuando no logra contar flujo u ocupación correctamente (Ver Figura 1).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6881" cy="32353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881" cy="323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1. Gráficos de velocidad, ocupación y flujo vs paso temporal.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inspección visual de la serie cruda de un sensor durante su primera semana confirma un patrón claramente periódico: dos picos diarios de flujo (horas pico), un patrón inverso en velocidad (caídas puntuales coincidentes con congestión) y una estacionalidad semanal visible en los siete ciclos de la figura. Esto justifica modelar el problema con dependencias tanto de corto como de largo plazo, como propone LSTTN.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ybcypulz5jez" w:id="3"/>
      <w:bookmarkEnd w:id="3"/>
      <w:r w:rsidDel="00000000" w:rsidR="00000000" w:rsidRPr="00000000">
        <w:rPr>
          <w:rtl w:val="0"/>
        </w:rPr>
        <w:t xml:space="preserve">3. Preprocesamiento de datos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aplicaron, en orden, los siguientes pasos: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valores faltantes:</w:t>
      </w:r>
      <w:r w:rsidDel="00000000" w:rsidR="00000000" w:rsidRPr="00000000">
        <w:rPr>
          <w:rtl w:val="0"/>
        </w:rPr>
        <w:t xml:space="preserve"> los ceros del canal de flujo (y, por arrastre, los de ocupación) se </w:t>
      </w:r>
      <w:r w:rsidDel="00000000" w:rsidR="00000000" w:rsidRPr="00000000">
        <w:rPr>
          <w:rtl w:val="0"/>
        </w:rPr>
        <w:t xml:space="preserve">interpolaron</w:t>
      </w:r>
      <w:r w:rsidDel="00000000" w:rsidR="00000000" w:rsidRPr="00000000">
        <w:rPr>
          <w:rtl w:val="0"/>
        </w:rPr>
        <w:t xml:space="preserve"> linealmente en el eje temporal, por sensor y por canal. Tras este paso, la proporción de ceros en flujo se redujo a 0.0%.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Particionamiento temporal</w:t>
      </w:r>
      <w:r w:rsidDel="00000000" w:rsidR="00000000" w:rsidRPr="00000000">
        <w:rPr>
          <w:rtl w:val="0"/>
        </w:rPr>
        <w:t xml:space="preserve"> secuencial 60/20/20, sin mezclar el orden temporal para evitar fuga de información futura. Esto produjo conjuntos de (10195, 307, 3) pasos para entrenamiento, (3398, 307, 3) para validación y (3399, 307, 3) para prueba.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 z-score</w:t>
      </w:r>
      <w:r w:rsidDel="00000000" w:rsidR="00000000" w:rsidRPr="00000000">
        <w:rPr>
          <w:rtl w:val="0"/>
        </w:rPr>
        <w:t xml:space="preserve"> por canal, con media y desviación estándar calculadas únicamente sobre el split de entrenamiento. Tras normalizar, el conjunto de entrenamiento queda con media 0.0 y desviación estándar 1.0, confirmando que la normalización se aplicó correctamente.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Ventaneo (sliding window)</w:t>
      </w:r>
      <w:r w:rsidDel="00000000" w:rsidR="00000000" w:rsidRPr="00000000">
        <w:rPr>
          <w:rFonts w:ascii="Cardo" w:cs="Cardo" w:eastAsia="Cardo" w:hAnsi="Cardo"/>
          <w:rtl w:val="0"/>
        </w:rPr>
        <w:t xml:space="preserve"> de 12 pasos de historia → 12 pasos de pronóstico (1 hora de contexto, 1 hora de horizonte), generando X_train con forma (10172, 12, 307, 3), consistente con 10195 − 12 − 12 + 1 = 10172 ventanas.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yrpcs9rg8h74" w:id="4"/>
      <w:bookmarkEnd w:id="4"/>
      <w:r w:rsidDel="00000000" w:rsidR="00000000" w:rsidRPr="00000000">
        <w:rPr>
          <w:rtl w:val="0"/>
        </w:rPr>
        <w:t xml:space="preserve">4. Construcción del grafo</w:t>
      </w:r>
    </w:p>
    <w:p w:rsidR="00000000" w:rsidDel="00000000" w:rsidP="00000000" w:rsidRDefault="00000000" w:rsidRPr="00000000" w14:paraId="00000049">
      <w:pPr>
        <w:spacing w:after="200" w:before="0" w:lineRule="auto"/>
        <w:ind w:right="0"/>
        <w:jc w:val="center"/>
        <w:rPr/>
      </w:pPr>
      <m:oMath>
        <m:r>
          <w:rPr/>
          <m:t xml:space="preserve">G=(V,E,A)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Nodos (V):</w:t>
      </w:r>
      <w:r w:rsidDel="00000000" w:rsidR="00000000" w:rsidRPr="00000000">
        <w:rPr>
          <w:rtl w:val="0"/>
        </w:rPr>
        <w:t xml:space="preserve"> un nodo por sensor (N = 307). El atributo estático de cada nodo es el vector promedio de sus tres características en el split de entrenamiento, usado solo para inspección; el tensor temporal completo (X_train, X_val, X_test) es el que alimentará al modelo en el Entregable 3.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Aristas (E):</w:t>
      </w:r>
      <w:r w:rsidDel="00000000" w:rsidR="00000000" w:rsidRPr="00000000">
        <w:rPr>
          <w:rtl w:val="0"/>
        </w:rPr>
        <w:t xml:space="preserve"> tomadas de PEMS04.csv. Cada fila (from, to, cost) activa la conexión en ambos sentidos, replicando la convención oficial del dataset.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adyacencia (A):</w:t>
      </w:r>
      <w:r w:rsidDel="00000000" w:rsidR="00000000" w:rsidRPr="00000000">
        <w:rPr>
          <w:rtl w:val="0"/>
        </w:rPr>
        <w:t xml:space="preserve"> se construye como binaria y simétrica siguiendo la convención oficial: cada fila del CSV activa A[i,j]=1 y A[j,i]=1. De forma paralela se calcula una matriz de pesos con kernel gaussiano sobre el costo/distancia, usada como edge_attr para que el modelo distinga la intensidad de cada conexión. Esto produjo 680 entradas no nulas en la matriz binaria (340 conexiones físicas × 2 direcciones), que sumadas a los 307 self-loops de la convención GCN dan el total de 987 reportado en la Tabla 1.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objeto resultante de PyTorch Geometric es Data(x=[307, 3], edge_index=[2, 680], edge_attr=[680]) (los self-loops no se agregan explícitamente aquí porque las capas de tipo GCNConv de PyTorch Geometric ya los añaden internamente por defecto). La visualización del grafo se encuentra en la Figura 2 y muestra una red no dirigida con algunos nodos hub claramente más conectados (zona superior y derecha del layout, con aristas más gruesas), que probablemente corresponden a intersecciones o enlaces de entrada/salida de autopista con varios sensores vecinos.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64240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424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Figura 2. Grafo resultante del dataset PEMS-04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zdjm35boob5p" w:id="5"/>
      <w:bookmarkEnd w:id="5"/>
      <w:r w:rsidDel="00000000" w:rsidR="00000000" w:rsidRPr="00000000">
        <w:rPr>
          <w:rtl w:val="0"/>
        </w:rPr>
        <w:t xml:space="preserve">5. Análisis estructural del grafo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Sobre el grafo no dirigido construido en 2.4 se calcularon las métricas que se muestran en la Tabla 2 y la Figura 3: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Aristas (sin self-loops)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Densidad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0.00724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Grado promedio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Componentes conexas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Coeficiente de clustering promedio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0.0583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after="0" w:before="0" w:line="276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Tabla 2. Métricas del grafo.</w:t>
      </w:r>
    </w:p>
    <w:p w:rsidR="00000000" w:rsidDel="00000000" w:rsidP="00000000" w:rsidRDefault="00000000" w:rsidRPr="00000000" w14:paraId="00000061">
      <w:pPr>
        <w:widowControl w:val="0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262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62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3. Distribución de grados.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densidad sigue siendo muy baja (0.72%), consistente con una red vial donde cada sensor solo se conecta con sus vecinos físicos inmediatos. La distribución de grado tiene su moda en grado 2 (195 de 307 nodos), lo que es coherente con la topología típica de un sensor ubicado en un tramo recto de autopista, conectado a un vecino aguas arriba y otro aguas abajo; los nodos de grado 1 (50 sensores) corresponden a extremos de tramo, y la cola de grado 3 a 7 (alrededor de 40 nodos) a intersecciones o enlaces de entrada/salida con varios vecinos.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Las 12 componentes conexas indican que la red monitoreada se divide en 12 sub-redes viales independientes dentro del distrito (no hay un único continuo que cubra los 307 sensores). El coeficiente de clustering bajo (0.0583) confirma que la topología se parece más a una cadena de tramos que a una malla densa con muchos triángulos, lo esperable en una red vial real.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Una limitación de este modelamiento es que, al simetrizar las conexiones, se pierde la información de sentido de circulación que sí captura el dato crudo dirigido; en este enfoque esa direccionalidad queda implícita en los valores de flujo/velocidad de cada sensor en el tiempo, y no en la estructura del grafo, lo que es consistente con la convención usada por el resto de la literatura (ASTGCN, STSGCN, LSTTN) para este dataset.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2dlcx0124iit" w:id="6"/>
      <w:bookmarkEnd w:id="6"/>
      <w:r w:rsidDel="00000000" w:rsidR="00000000" w:rsidRPr="00000000">
        <w:rPr>
          <w:rtl w:val="0"/>
        </w:rPr>
        <w:t xml:space="preserve">6. Anexos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Archivo de Google Colab con Análisis de Datos: 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https://drive.google.com/file/d/1OI4irR1iE3ZqZxx-HifQru_gc7OPjs_R/view?usp=sharing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spacing w:after="160" w:before="240" w:lineRule="auto"/>
        <w:ind w:right="129.0026246719169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OI4irR1iE3ZqZxx-HifQru_gc7OPjs_R/view?usp=sharing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GeoX-Lab/LSTTN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