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Handling Button Debounce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Teacher Guide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color w:val="00546c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32"/>
          <w:szCs w:val="32"/>
          <w:rtl w:val="0"/>
        </w:rPr>
        <w:t xml:space="preserve">Handling Button Presses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Button debounce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is a technique used in electronics and software design to address the issues associated with mechanical switches or buttons. When a button is pressed or released, the physical contacts within the switch can make multiple, rapid transitions between open and closed states before settling into a stable state. This can lead to noise or false readings, causing unintended triggers or errors in the electronic system.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Debouncing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is the process of smoothing out these rapid changes in signal to ensure that only a single, stable transition is recognized. This is typically achieved using hardware or software solutions.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Hardware Debouncing: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In hardware debounce, additional components like resistors and capacitors are used to filter out noise and create a clean signal. One common approach is to use an RC (resistor-capacitor) circuit to introduce a time delay, allowing the signal to settle before being read by the electronic system.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Software Debouncing: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In software debounce, the debouncing is handled by the software running on the microcontroller or other processing unit. This is often implemented by introducing a brief delay between the time a button is pressed or released and the time the system registers the state change. During this delay, any noise or bouncing in the signal is ignored.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Debouncing is crucial in applications where accurate and reliable button inputs are required, such as in user interfaces, gaming controllers, or any system involving digital buttons or switches. 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9VGnLQP1rrppvqa8+5uW898Hg==">CgMxLjA4AHIhMTlHa1lxdWRHMzM0ZzZlb1FyZXdxbWIzT1JJSklPVWZF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65C5241-174E-4F0A-BA0D-24AFB450BC72}"/>
</file>

<file path=customXML/itemProps3.xml><?xml version="1.0" encoding="utf-8"?>
<ds:datastoreItem xmlns:ds="http://schemas.openxmlformats.org/officeDocument/2006/customXml" ds:itemID="{806861D6-2AED-47A6-96F2-7DCA94BDE78E}"/>
</file>

<file path=customXML/itemProps4.xml><?xml version="1.0" encoding="utf-8"?>
<ds:datastoreItem xmlns:ds="http://schemas.openxmlformats.org/officeDocument/2006/customXml" ds:itemID="{97C6C173-7248-408C-9EF2-7B31CBEFF48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2023-11-17T12:37:00Z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