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06BFD900" w:rsidR="00D76530" w:rsidRDefault="00BB7CFF" w:rsidP="00D76530">
    <w:pPr>
      <w:pStyle w:val="Footer"/>
      <w:ind w:right="360"/>
    </w:pPr>
    <w:r w:rsidRPr="00BB7CFF">
      <w:rPr>
        <w:i/>
        <w:iCs/>
        <w:sz w:val="22"/>
        <w:szCs w:val="22"/>
      </w:rPr>
      <w:t>Ihle et al. 2026, DOIXXXXX, CC-BY-SA 4.0 LMU Open Science Center</w:t>
    </w:r>
    <w:r w:rsidR="00D76530">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4E25F7"/>
    <w:rsid w:val="007176D2"/>
    <w:rsid w:val="00915781"/>
    <w:rsid w:val="00B81517"/>
    <w:rsid w:val="00B8607A"/>
    <w:rsid w:val="00BB7CFF"/>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338" Target="https://www.lmu.de/en/research/entrepreneurship-and-transfer/ip-management/"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338" Target="https://www.lmu.de/en/research/entrepreneurship-and-transfer/ip-management/"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2026-10-28T15:47:32Z</dcterms:created>
  <dcterms:modified xsi:type="dcterms:W3CDTF">2026-10-28T15:47:32Z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2026-10-28</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