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4f87409bf386e77ae0b280d25f48522e333963b"/>
    <w:p>
      <w:pPr>
        <w:pStyle w:val="Heading1"/>
      </w:pPr>
      <w:r>
        <w:t xml:space="preserve">Accrued Commissions and Unclaimed Property SOP</w:t>
      </w:r>
    </w:p>
    <w:p>
      <w:pPr>
        <w:pStyle w:val="FirstParagraph"/>
      </w:pPr>
      <w:r>
        <w:t xml:space="preserve">As of October 6, 2026. Snapshot of the living Claude Doc; the doc is the editable master.</w:t>
      </w:r>
    </w:p>
    <w:bookmarkStart w:id="20" w:name="purpose-scope-and-cadence"/>
    <w:p>
      <w:pPr>
        <w:pStyle w:val="Heading2"/>
      </w:pPr>
      <w:r>
        <w:t xml:space="preserve">Purpose, scope and cadence</w:t>
      </w:r>
    </w:p>
    <w:p>
      <w:pPr>
        <w:pStyle w:val="FirstParagraph"/>
      </w:pPr>
      <w:r>
        <w:t xml:space="preserve">Unapplied commission deposits are applied in the ordinary course of business, with no deadline, and are reviewed once a year, in early December, against each state’s dormancy threshold. Items that have crossed the threshold, or will cross it before the next state report cutoff, are resolved and taken off the books: paid to the owner, refunded to the payer, remitted to the state, or retained with documented support. One annual cycle is the right cadence: dormancy periods run one to three years, and a single December review, projected forward to every cutoff, feeds one batch of due-diligence letters in January and every state’s filing: Pennsylvania April 15, Illinois and Florida May 1, Texas July 1 and Alabama November 1.</w:t>
      </w:r>
    </w:p>
    <w:p>
      <w:pPr>
        <w:pStyle w:val="BodyText"/>
      </w:pPr>
      <w:r>
        <w:t xml:space="preserve">This is a standing policy. It carries no balances or dates of its own; the current figures, the aged-item detail and each year’s decisions live in the analysis workbook and the annual findings memo. It covers every check or wire deposited into an office operating account of Dallas, Houston, Texas United Realty (TUR), Chicago, Philly, Leading Edge, Gallery or DC that has not yet been matched to a transaction and booked in 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Cadence</w:t>
            </w:r>
          </w:p>
        </w:tc>
        <w:tc>
          <w:tcPr/>
          <w:p>
            <w:pPr>
              <w:pStyle w:val="Compact"/>
              <w:jc w:val="left"/>
            </w:pPr>
            <w:r>
              <w:t xml:space="preserve">What happens</w:t>
            </w:r>
          </w:p>
        </w:tc>
        <w:tc>
          <w:tcPr/>
          <w:p>
            <w:pPr>
              <w:pStyle w:val="Compact"/>
              <w:jc w:val="left"/>
            </w:pPr>
            <w:r>
              <w:t xml:space="preserve">Owner</w:t>
            </w:r>
          </w:p>
        </w:tc>
        <w:tc>
          <w:tcPr/>
          <w:p>
            <w:pPr>
              <w:pStyle w:val="Compact"/>
              <w:jc w:val="left"/>
            </w:pPr>
            <w:r>
              <w:t xml:space="preserve">Output</w:t>
            </w:r>
          </w:p>
        </w:tc>
      </w:tr>
      <w:tr>
        <w:tc>
          <w:tcPr/>
          <w:p>
            <w:pPr>
              <w:pStyle w:val="Compact"/>
              <w:jc w:val="left"/>
            </w:pPr>
            <w:r>
              <w:t xml:space="preserve">Ongoing</w:t>
            </w:r>
          </w:p>
        </w:tc>
        <w:tc>
          <w:tcPr/>
          <w:p>
            <w:pPr>
              <w:pStyle w:val="Compact"/>
              <w:jc w:val="left"/>
            </w:pPr>
            <w:r>
              <w:t xml:space="preserve">Deposits logged on the entity tab and applied as transactions are identified; booked items marked with an x</w:t>
            </w:r>
          </w:p>
        </w:tc>
        <w:tc>
          <w:tcPr/>
          <w:p>
            <w:pPr>
              <w:pStyle w:val="Compact"/>
              <w:jc w:val="left"/>
            </w:pPr>
            <w:r>
              <w:t xml:space="preserve">Cash team, office accountants</w:t>
            </w:r>
          </w:p>
        </w:tc>
        <w:tc>
          <w:tcPr/>
          <w:p>
            <w:pPr>
              <w:pStyle w:val="Compact"/>
              <w:jc w:val="left"/>
            </w:pPr>
            <w:r>
              <w:t xml:space="preserve">Cash Requirements workbook</w:t>
            </w:r>
          </w:p>
        </w:tc>
      </w:tr>
      <w:tr>
        <w:tc>
          <w:tcPr/>
          <w:p>
            <w:pPr>
              <w:pStyle w:val="Compact"/>
              <w:jc w:val="left"/>
            </w:pPr>
            <w:r>
              <w:t xml:space="preserve">Once a year: early December (as of November 30), projected to every state cutoff</w:t>
            </w:r>
          </w:p>
        </w:tc>
        <w:tc>
          <w:tcPr/>
          <w:p>
            <w:pPr>
              <w:pStyle w:val="Compact"/>
              <w:jc w:val="left"/>
            </w:pPr>
            <w:r>
              <w:t xml:space="preserve">Aged items tested against the dormancy threshold; items past it or reaching it by the next cutoff are resolved; one batch of due-diligence letters goes out January 1 to February 14</w:t>
            </w:r>
          </w:p>
        </w:tc>
        <w:tc>
          <w:tcPr/>
          <w:p>
            <w:pPr>
              <w:pStyle w:val="Compact"/>
              <w:jc w:val="left"/>
            </w:pPr>
            <w:r>
              <w:t xml:space="preserve">Director of Financial Reporting and Analysis</w:t>
            </w:r>
          </w:p>
        </w:tc>
        <w:tc>
          <w:tcPr/>
          <w:p>
            <w:pPr>
              <w:pStyle w:val="Compact"/>
              <w:jc w:val="left"/>
            </w:pPr>
            <w:r>
              <w:t xml:space="preserve">Updated analysis workbook; annual findings memo; letter batch</w:t>
            </w:r>
          </w:p>
        </w:tc>
      </w:tr>
      <w:tr>
        <w:tc>
          <w:tcPr/>
          <w:p>
            <w:pPr>
              <w:pStyle w:val="Compact"/>
              <w:jc w:val="left"/>
            </w:pPr>
            <w:r>
              <w:t xml:space="preserve">Filing season, prepared in the same cycle</w:t>
            </w:r>
          </w:p>
        </w:tc>
        <w:tc>
          <w:tcPr/>
          <w:p>
            <w:pPr>
              <w:pStyle w:val="Compact"/>
              <w:jc w:val="left"/>
            </w:pPr>
            <w:r>
              <w:t xml:space="preserve">Reports and remittances submitted on each state’s statutory date: Pennsylvania April 15, Illinois and Florida May 1, Texas July 1, Alabama November 1</w:t>
            </w:r>
          </w:p>
        </w:tc>
        <w:tc>
          <w:tcPr/>
          <w:p>
            <w:pPr>
              <w:pStyle w:val="Compact"/>
              <w:jc w:val="left"/>
            </w:pPr>
            <w:r>
              <w:t xml:space="preserve">Director of Financial Reporting and Analysis with counsel</w:t>
            </w:r>
          </w:p>
        </w:tc>
        <w:tc>
          <w:tcPr/>
          <w:p>
            <w:pPr>
              <w:pStyle w:val="Compact"/>
              <w:jc w:val="left"/>
            </w:pPr>
            <w:r>
              <w:t xml:space="preserve">State filings; remittance JEs</w:t>
            </w:r>
          </w:p>
        </w:tc>
      </w:tr>
    </w:tbl>
    <w:p>
      <w:pPr>
        <w:pStyle w:val="BodyText"/>
      </w:pPr>
      <w:r>
        <w:t xml:space="preserve">This SOP is not legal advice. The state rules it relies on were verified from the statute text and state treasury pages on 10/6/2026 (appendix); counsel confirms the adopted positions before the first filing.</w:t>
      </w:r>
    </w:p>
    <w:bookmarkEnd w:id="20"/>
    <w:bookmarkStart w:id="21" w:name="what-the-accrued-commission-balance-is"/>
    <w:p>
      <w:pPr>
        <w:pStyle w:val="Heading2"/>
      </w:pPr>
      <w:r>
        <w:t xml:space="preserve">What the accrued commission balance is</w:t>
      </w:r>
    </w:p>
    <w:p>
      <w:pPr>
        <w:pStyle w:val="FirstParagraph"/>
      </w:pPr>
      <w:r>
        <w:t xml:space="preserve">The accrued commission balance is unapplied cash, not a commission liability we have measured. Each entity tab keeps a</w:t>
      </w:r>
      <w:r>
        <w:t xml:space="preserve"> </w:t>
      </w:r>
      <w:r>
        <w:t xml:space="preserve">“</w:t>
      </w:r>
      <w:r>
        <w:t xml:space="preserve">Previous Month’s Accrued Commissions</w:t>
      </w:r>
      <w:r>
        <w:t xml:space="preserve">”</w:t>
      </w:r>
      <w:r>
        <w:t xml:space="preserve"> </w:t>
      </w:r>
      <w:r>
        <w:t xml:space="preserve">block of deposited checks, mostly from title companies, landlords and other brokers. A check stays in the block until it is matched to a Paperless Pipeline transaction and booked in Sage. The accrued balance is simply the sum of the unmatched checks.</w:t>
      </w:r>
    </w:p>
    <w:p>
      <w:pPr>
        <w:pStyle w:val="BodyText"/>
      </w:pPr>
      <w:r>
        <w:t xml:space="preserve">Each check is one of three things: the company’s own fee (the transaction fee and E&amp;O paid through closing), a commission that includes an agent’s share, or money that is not ours at all. Only the agent’s share, and anything owed back to a payer, can ever be unclaimed property. Nothing has been written off or reported to any state before now.</w:t>
      </w:r>
    </w:p>
    <w:p>
      <w:pPr>
        <w:pStyle w:val="BodyText"/>
      </w:pPr>
      <w:r>
        <w:t xml:space="preserve">Deposits often sit in the block for a long time before they are applied, and that is acceptable. Late application is not the risk. The risk is an amount that belongs to an agent or a payer crossing its state’s dormancy threshold and reaching a report cutoff without having been paid, refunded, or reported. This policy exists to catch those items at the annual review and get them off the books.</w:t>
      </w:r>
    </w:p>
    <w:p>
      <w:pPr>
        <w:pStyle w:val="BodyText"/>
      </w:pPr>
      <w:r>
        <w:t xml:space="preserve">Current balances, aging, classification and exposure by entity are in Accrued_Commissions_Unclaimed_Property_Analysis.xlsx, rebuilt at each annual review, and summarized in that year’s findings memo. The first findings memo, dated 10/6/2026, also carries the plan for working the initial backlog.</w:t>
      </w:r>
    </w:p>
    <w:bookmarkEnd w:id="21"/>
    <w:bookmarkStart w:id="22" w:name="legal-framework"/>
    <w:p>
      <w:pPr>
        <w:pStyle w:val="Heading2"/>
      </w:pPr>
      <w:r>
        <w:t xml:space="preserve">Legal framework</w:t>
      </w:r>
    </w:p>
    <w:p>
      <w:pPr>
        <w:pStyle w:val="FirstParagraph"/>
      </w:pPr>
      <w:r>
        <w:t xml:space="preserve">Texas rules govern most of the population, because five of the seven holder entities are Texas LLCs and the agents are independent contractors. Five principles drive every decision in this SOP.</w:t>
      </w:r>
    </w:p>
    <w:p>
      <w:pPr>
        <w:numPr>
          <w:ilvl w:val="0"/>
          <w:numId w:val="1001"/>
        </w:numPr>
        <w:pStyle w:val="Compact"/>
      </w:pPr>
      <w:r>
        <w:rPr>
          <w:bCs/>
          <w:b/>
        </w:rPr>
        <w:t xml:space="preserve">Which state gets the property.</w:t>
      </w:r>
      <w:r>
        <w:t xml:space="preserve"> </w:t>
      </w:r>
      <w:r>
        <w:t xml:space="preserve">Under Texas v. New Jersey, 379 U.S. 674 (1965), property goes first to the state of the owner’s last-known address in the holder’s records, and second, where the records show no address, to the holder’s state of formation. Per the Entity Management Database, URE Dallas, URE Houston, Quick Close Properties (TUR), URE Chicago and URE Philadelphia are Texas LLCs; RaySon Partners d/b/a URE Gallery is a Florida LLC; Leading Edge Realty is an Alabama entity. Chicago and Philadelphia are only registered as foreign LLCs in Illinois and Pennsylvania. An unknown-agent item at Philly therefore goes to Texas, not Pennsylvania.</w:t>
      </w:r>
    </w:p>
    <w:p>
      <w:pPr>
        <w:numPr>
          <w:ilvl w:val="0"/>
          <w:numId w:val="1001"/>
        </w:numPr>
        <w:pStyle w:val="Compact"/>
      </w:pPr>
      <w:r>
        <w:rPr>
          <w:bCs/>
          <w:b/>
        </w:rPr>
        <w:t xml:space="preserve">When it becomes reportable.</w:t>
      </w:r>
      <w:r>
        <w:t xml:space="preserve"> </w:t>
      </w:r>
      <w:r>
        <w:t xml:space="preserve">Each state presumes property abandoned after a dormancy period that runs from the date the amount became payable. Under the Houston agreement the agent’s share is payable when the Broker receives its fee; the other agreements pay promptly after receipt subject to a complete file. The deposit date is used as the trigger throughout.</w:t>
      </w:r>
    </w:p>
    <w:p>
      <w:pPr>
        <w:numPr>
          <w:ilvl w:val="0"/>
          <w:numId w:val="1001"/>
        </w:numPr>
        <w:pStyle w:val="Compact"/>
      </w:pPr>
      <w:r>
        <w:rPr>
          <w:bCs/>
          <w:b/>
        </w:rPr>
        <w:t xml:space="preserve">Which period applies.</w:t>
      </w:r>
      <w:r>
        <w:t xml:space="preserve"> </w:t>
      </w:r>
      <w:r>
        <w:t xml:space="preserve">Texas uses 3 years for general property and 1 year for wages, but Texas defines wages through Labor Code 61.001, which excludes independent contractors, so the 3-year period applies; management adopted it on 10/6/2026 after verifying the statute and the Comptroller’s property-code table, which lists commissions at 3 years and wages at 1. Illinois (1 year for other compensation for personal services), Alabama (1 year, same wording) and Pennsylvania (2 years for wages and commissions) apply their shorter periods to contractor commissions. Florida’s 1-year wage rule does not reach contractors; for a Florida-organized holder with an unknown owner address the period is 3 years (717.1035), and 5 years where the owner has a Florida address (717.102).</w:t>
      </w:r>
    </w:p>
    <w:p>
      <w:pPr>
        <w:numPr>
          <w:ilvl w:val="0"/>
          <w:numId w:val="1001"/>
        </w:numPr>
        <w:pStyle w:val="Compact"/>
      </w:pPr>
      <w:r>
        <w:rPr>
          <w:bCs/>
          <w:b/>
        </w:rPr>
        <w:t xml:space="preserve">What the company may keep.</w:t>
      </w:r>
      <w:r>
        <w:t xml:space="preserve"> </w:t>
      </w:r>
      <w:r>
        <w:t xml:space="preserve">The company’s contractual fee and E&amp;O on each check is revenue and is never unclaimed property. Amounts an agent owes the company may be offset under every agreement. A contractual forfeiture (the Philly 60-day incomplete-file clause, the TUR breach clauses) is not relied on against the state: Texas, Illinois, Florida and Alabama provide that the expiration of a period set by contract does not prevent property from being presumed abandoned, Texas also prohibits diverting funds into income by private agreement, and Pennsylvania’s act is silent. Management decided on 10/6/2026 that an item past dormancy is paid or reported at the agent’s share regardless of those clauses.</w:t>
      </w:r>
    </w:p>
    <w:p>
      <w:pPr>
        <w:numPr>
          <w:ilvl w:val="0"/>
          <w:numId w:val="1001"/>
        </w:numPr>
        <w:pStyle w:val="Compact"/>
      </w:pPr>
      <w:r>
        <w:rPr>
          <w:bCs/>
          <w:b/>
        </w:rPr>
        <w:t xml:space="preserve">Private escheat is prohibited.</w:t>
      </w:r>
      <w:r>
        <w:t xml:space="preserve"> </w:t>
      </w:r>
      <w:r>
        <w:t xml:space="preserve">An unknown owner does not make the money the company’s. Amounts owed to others that are written off to income remain reportable, and audits look back ten years or more.</w:t>
      </w:r>
    </w:p>
    <w:p>
      <w:pPr>
        <w:pStyle w:val="FirstParagraph"/>
      </w:pPr>
      <w:r>
        <w:t xml:space="preserve">Voluntary disclosure agreements are available in all five states (appendix). Texas waives penalty and interest for a good-faith holder, with a 10-year look-back, and the request must precede any Comptroller contact; Pennsylvania waives penalties and its 12% interest with a 10-year look-back; Illinois and Alabama waive penalties and interest; Florida’s program is open only to holders that have never filed. In every state in scope a holder that pays or delivers property in good faith is relieved of liability for it, and a holder that later pays the owner may recover the amount from the state.</w:t>
      </w:r>
    </w:p>
    <w:bookmarkEnd w:id="22"/>
    <w:bookmarkStart w:id="23" w:name="roles-and-responsibilities"/>
    <w:p>
      <w:pPr>
        <w:pStyle w:val="Heading2"/>
      </w:pPr>
      <w:r>
        <w:t xml:space="preserve">Roles and responsibilities</w:t>
      </w:r>
    </w:p>
    <w:p>
      <w:pPr>
        <w:pStyle w:val="FirstParagraph"/>
      </w:pPr>
      <w:r>
        <w:t xml:space="preserve">The Director of Financial Reporting and Analysis owns the process end to end; the office accountants own the matching; counsel owns the legal positions.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Responsibilities</w:t>
            </w:r>
          </w:p>
        </w:tc>
      </w:tr>
      <w:tr>
        <w:tc>
          <w:tcPr/>
          <w:p>
            <w:pPr>
              <w:pStyle w:val="Compact"/>
              <w:jc w:val="left"/>
            </w:pPr>
            <w:r>
              <w:t xml:space="preserve">Cash team</w:t>
            </w:r>
          </w:p>
        </w:tc>
        <w:tc>
          <w:tcPr/>
          <w:p>
            <w:pPr>
              <w:pStyle w:val="Compact"/>
              <w:jc w:val="left"/>
            </w:pPr>
            <w:r>
              <w:t xml:space="preserve">Log every deposit on the entity tab the day it posts, with date, check number, amount, payer and memo. Mark the x when the item is booked in Sage.</w:t>
            </w:r>
          </w:p>
        </w:tc>
      </w:tr>
      <w:tr>
        <w:tc>
          <w:tcPr/>
          <w:p>
            <w:pPr>
              <w:pStyle w:val="Compact"/>
              <w:jc w:val="left"/>
            </w:pPr>
            <w:r>
              <w:t xml:space="preserve">Office accountant (per entity)</w:t>
            </w:r>
          </w:p>
        </w:tc>
        <w:tc>
          <w:tcPr/>
          <w:p>
            <w:pPr>
              <w:pStyle w:val="Compact"/>
              <w:jc w:val="left"/>
            </w:pPr>
            <w:r>
              <w:t xml:space="preserve">Apply deposits to transactions in the ordinary course. When an item is applied, book the fee to revenue, pay the agent, or refund the payer. Record the agent’s name and address state whenever it becomes known.</w:t>
            </w:r>
          </w:p>
        </w:tc>
      </w:tr>
      <w:tr>
        <w:tc>
          <w:tcPr/>
          <w:p>
            <w:pPr>
              <w:pStyle w:val="Compact"/>
              <w:jc w:val="left"/>
            </w:pPr>
            <w:r>
              <w:t xml:space="preserve">Director of Financial Reporting and Analysis</w:t>
            </w:r>
          </w:p>
        </w:tc>
        <w:tc>
          <w:tcPr/>
          <w:p>
            <w:pPr>
              <w:pStyle w:val="Compact"/>
              <w:jc w:val="left"/>
            </w:pPr>
            <w:r>
              <w:t xml:space="preserve">Run the annual threshold review, maintain the analysis workbook, approve estimated splits, approve due-diligence letters, prepare state reports and remittance JEs, write the annual findings memo, keep the filing calendar.</w:t>
            </w:r>
          </w:p>
        </w:tc>
      </w:tr>
      <w:tr>
        <w:tc>
          <w:tcPr/>
          <w:p>
            <w:pPr>
              <w:pStyle w:val="Compact"/>
              <w:jc w:val="left"/>
            </w:pPr>
            <w:r>
              <w:t xml:space="preserve">Counsel or unclaimed property advisor</w:t>
            </w:r>
          </w:p>
        </w:tc>
        <w:tc>
          <w:tcPr/>
          <w:p>
            <w:pPr>
              <w:pStyle w:val="Compact"/>
              <w:jc w:val="left"/>
            </w:pPr>
            <w:r>
              <w:t xml:space="preserve">Confirm dormancy periods, the priority-rule application, treatment of forfeiture and offset clauses, VDA strategy, and sign off before each filing.</w:t>
            </w:r>
          </w:p>
        </w:tc>
      </w:tr>
      <w:tr>
        <w:tc>
          <w:tcPr/>
          <w:p>
            <w:pPr>
              <w:pStyle w:val="Compact"/>
              <w:jc w:val="left"/>
            </w:pPr>
            <w:r>
              <w:t xml:space="preserve">CFO</w:t>
            </w:r>
          </w:p>
        </w:tc>
        <w:tc>
          <w:tcPr/>
          <w:p>
            <w:pPr>
              <w:pStyle w:val="Compact"/>
              <w:jc w:val="left"/>
            </w:pPr>
            <w:r>
              <w:t xml:space="preserve">Approve any VDA submission and any retention under an offset, or under a forfeiture clause applied to an item settled before dormancy.</w:t>
            </w:r>
          </w:p>
        </w:tc>
      </w:tr>
    </w:tbl>
    <w:bookmarkEnd w:id="23"/>
    <w:bookmarkStart w:id="24" w:name="ongoing-application-of-deposits"/>
    <w:p>
      <w:pPr>
        <w:pStyle w:val="Heading2"/>
      </w:pPr>
      <w:r>
        <w:t xml:space="preserve">Ongoing application of deposits</w:t>
      </w:r>
    </w:p>
    <w:p>
      <w:pPr>
        <w:pStyle w:val="FirstParagraph"/>
      </w:pPr>
      <w:r>
        <w:t xml:space="preserve">Deposits are applied when the transaction is identified, with no deadline. Some commissions are applied long after deposit and that is normal. Three things are required of the ongoing process so that the annual review has what it needs.</w:t>
      </w:r>
    </w:p>
    <w:p>
      <w:pPr>
        <w:numPr>
          <w:ilvl w:val="0"/>
          <w:numId w:val="1002"/>
        </w:numPr>
        <w:pStyle w:val="Compact"/>
      </w:pPr>
      <w:r>
        <w:t xml:space="preserve">Every deposit carries its date, check number, amount, payer and memo on the entity tab from the day it posts. The deposit date is the dormancy trigger, so it must be right.</w:t>
      </w:r>
    </w:p>
    <w:p>
      <w:pPr>
        <w:numPr>
          <w:ilvl w:val="0"/>
          <w:numId w:val="1002"/>
        </w:numPr>
        <w:pStyle w:val="Compact"/>
      </w:pPr>
      <w:r>
        <w:t xml:space="preserve">When an item is applied, it is classified and treated per the treatment rules: fee to revenue, agent paid, payer refunded, or hold flagged. The agent’s name and last-known address state are recorded in the analysis workbook’s Detail tab at that time.</w:t>
      </w:r>
    </w:p>
    <w:p>
      <w:pPr>
        <w:numPr>
          <w:ilvl w:val="0"/>
          <w:numId w:val="1002"/>
        </w:numPr>
        <w:pStyle w:val="Compact"/>
      </w:pPr>
      <w:r>
        <w:t xml:space="preserve">Anything learned about an unapplied item (a payer’s file reference, a likely agent, a note that the check is not ours) is written in the memo column so it is there at the next annual review.</w:t>
      </w:r>
    </w:p>
    <w:p>
      <w:pPr>
        <w:pStyle w:val="FirstParagraph"/>
      </w:pPr>
      <w:r>
        <w:t xml:space="preserve">An item is never written off to income because the owner cannot be found. It stays on the list until it is paid, refunded, escheated, or counsel confirms the company is entitled to it.</w:t>
      </w:r>
    </w:p>
    <w:bookmarkEnd w:id="24"/>
    <w:bookmarkStart w:id="25" w:name="annual-unclaimed-property-review"/>
    <w:p>
      <w:pPr>
        <w:pStyle w:val="Heading2"/>
      </w:pPr>
      <w:r>
        <w:t xml:space="preserve">Annual unclaimed property review</w:t>
      </w:r>
    </w:p>
    <w:p>
      <w:pPr>
        <w:pStyle w:val="FirstParagraph"/>
      </w:pPr>
      <w:r>
        <w:t xml:space="preserve">In early December (as of November 30), ahead of every state cutoff, the Director of Financial Reporting and Analysis re-runs the analysis workbook and works only the items that matter for unclaimed property: those past their state’s dormancy threshold today, and those that will be past it at their state’s next report cutoff (December 31 for Pennsylvania, Illinois and Florida, March 1 for Texas, June 30 for Alabama). Everything younger is left to the ordinary application process. The result is documented in a short annual findings memo.</w:t>
      </w:r>
    </w:p>
    <w:p>
      <w:pPr>
        <w:numPr>
          <w:ilvl w:val="0"/>
          <w:numId w:val="1003"/>
        </w:numPr>
        <w:pStyle w:val="Compact"/>
      </w:pPr>
      <w:r>
        <w:rPr>
          <w:bCs/>
          <w:b/>
        </w:rPr>
        <w:t xml:space="preserve">Refresh the data.</w:t>
      </w:r>
      <w:r>
        <w:t xml:space="preserve"> </w:t>
      </w:r>
      <w:r>
        <w:t xml:space="preserve">Re-extract the prior-month accrued blocks from the Cash Requirements workbook into the analysis workbook (the build script does this from the two CSV extracts) and set the as-of date to the review date. Confirm every entity total ties to the tab’s outstanding amount. Update the fee lists if an office changed its schedule.</w:t>
      </w:r>
    </w:p>
    <w:p>
      <w:pPr>
        <w:numPr>
          <w:ilvl w:val="0"/>
          <w:numId w:val="1003"/>
        </w:numPr>
        <w:pStyle w:val="Compact"/>
      </w:pPr>
      <w:r>
        <w:rPr>
          <w:bCs/>
          <w:b/>
        </w:rPr>
        <w:t xml:space="preserve">Pull the threshold list.</w:t>
      </w:r>
      <w:r>
        <w:t xml:space="preserve"> </w:t>
      </w:r>
      <w:r>
        <w:t xml:space="preserve">Filter the Detail tab to items flagged dormant today or dormant at the next cutoff under the adopted test for their governing state. This is the working list for the review.</w:t>
      </w:r>
    </w:p>
    <w:p>
      <w:pPr>
        <w:numPr>
          <w:ilvl w:val="0"/>
          <w:numId w:val="1003"/>
        </w:numPr>
        <w:pStyle w:val="Compact"/>
      </w:pPr>
      <w:r>
        <w:rPr>
          <w:bCs/>
          <w:b/>
        </w:rPr>
        <w:t xml:space="preserve">Classify each item on the list.</w:t>
      </w:r>
      <w:r>
        <w:t xml:space="preserve"> </w:t>
      </w:r>
      <w:r>
        <w:t xml:space="preserve">Fee, small amount, memo-flagged, or larger commission check. Fee and confirmed small items are confirmed as company fees and left to the ordinary matching process and the year-end revenue true-up; only an item being written off at this review is booked to revenue now. Memo-flagged items are refunded to the payer and removed.</w:t>
      </w:r>
    </w:p>
    <w:p>
      <w:pPr>
        <w:numPr>
          <w:ilvl w:val="0"/>
          <w:numId w:val="1003"/>
        </w:numPr>
        <w:pStyle w:val="Compact"/>
      </w:pPr>
      <w:r>
        <w:rPr>
          <w:bCs/>
          <w:b/>
        </w:rPr>
        <w:t xml:space="preserve">Identify the owner of each remaining item.</w:t>
      </w:r>
      <w:r>
        <w:t xml:space="preserve"> </w:t>
      </w:r>
      <w:r>
        <w:t xml:space="preserve">Record the agent’s name and last-known address state from the Agent Information sheet or Paperless Pipeline. Where the agent cannot be identified, the item defaults to the entity’s formation state.</w:t>
      </w:r>
    </w:p>
    <w:p>
      <w:pPr>
        <w:numPr>
          <w:ilvl w:val="0"/>
          <w:numId w:val="1003"/>
        </w:numPr>
        <w:pStyle w:val="Compact"/>
      </w:pPr>
      <w:r>
        <w:rPr>
          <w:bCs/>
          <w:b/>
        </w:rPr>
        <w:t xml:space="preserve">Set the agent share.</w:t>
      </w:r>
      <w:r>
        <w:t xml:space="preserve"> </w:t>
      </w:r>
      <w:r>
        <w:t xml:space="preserve">Enter the documented split where the Disbursement Authorization or Closing Disclosure exists; otherwise apply the estimation rule. Enter any documented offset.</w:t>
      </w:r>
    </w:p>
    <w:p>
      <w:pPr>
        <w:numPr>
          <w:ilvl w:val="0"/>
          <w:numId w:val="1003"/>
        </w:numPr>
        <w:pStyle w:val="Compact"/>
      </w:pPr>
      <w:r>
        <w:rPr>
          <w:bCs/>
          <w:b/>
        </w:rPr>
        <w:t xml:space="preserve">Send due-diligence letters</w:t>
      </w:r>
      <w:r>
        <w:t xml:space="preserve"> </w:t>
      </w:r>
      <w:r>
        <w:t xml:space="preserve">to every owner with an address, within that state’s window before the cutoff. A response lets the company pay the owner and close the item.</w:t>
      </w:r>
    </w:p>
    <w:p>
      <w:pPr>
        <w:numPr>
          <w:ilvl w:val="0"/>
          <w:numId w:val="1003"/>
        </w:numPr>
        <w:pStyle w:val="Compact"/>
      </w:pPr>
      <w:r>
        <w:rPr>
          <w:bCs/>
          <w:b/>
        </w:rPr>
        <w:t xml:space="preserve">Resolve and take off the books.</w:t>
      </w:r>
      <w:r>
        <w:t xml:space="preserve"> </w:t>
      </w:r>
      <w:r>
        <w:t xml:space="preserve">For each item: pay the agent, refund the payer, remit to the state on the next report, or retain with a counsel memo. Items held for counsel are listed separately with the supporting facts.</w:t>
      </w:r>
    </w:p>
    <w:p>
      <w:pPr>
        <w:numPr>
          <w:ilvl w:val="0"/>
          <w:numId w:val="1003"/>
        </w:numPr>
        <w:pStyle w:val="Compact"/>
      </w:pPr>
      <w:r>
        <w:rPr>
          <w:bCs/>
          <w:b/>
        </w:rPr>
        <w:t xml:space="preserve">Write the annual findings memo.</w:t>
      </w:r>
      <w:r>
        <w:t xml:space="preserve"> </w:t>
      </w:r>
      <w:r>
        <w:t xml:space="preserve">One page: threshold items by entity and state, how each was resolved, dollars remitted or scheduled for remittance, items referred to counsel, and the next filing dates.</w:t>
      </w:r>
    </w:p>
    <w:p>
      <w:pPr>
        <w:pStyle w:val="FirstParagraph"/>
      </w:pPr>
      <w:r>
        <w:t xml:space="preserve">The findings memo and the review’s workbook are saved to the Unclaimed Property Analysis folder and to the repository branch so the history of each item is preserved for auditors.</w:t>
      </w:r>
    </w:p>
    <w:bookmarkEnd w:id="25"/>
    <w:bookmarkStart w:id="26" w:name="treatment-rules-by-item-class"/>
    <w:p>
      <w:pPr>
        <w:pStyle w:val="Heading2"/>
      </w:pPr>
      <w:r>
        <w:t xml:space="preserve">Treatment rules by item class</w:t>
      </w:r>
    </w:p>
    <w:p>
      <w:pPr>
        <w:pStyle w:val="FirstParagraph"/>
      </w:pPr>
      <w:r>
        <w:t xml:space="preserve">Each class has one treatment. The Director of Financial Reporting and Analysis may override a classification with documented reasons, never the treatment.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How it is identified</w:t>
            </w:r>
          </w:p>
        </w:tc>
        <w:tc>
          <w:tcPr/>
          <w:p>
            <w:pPr>
              <w:pStyle w:val="Compact"/>
              <w:jc w:val="left"/>
            </w:pPr>
            <w:r>
              <w:t xml:space="preserve">Treatment</w:t>
            </w:r>
          </w:p>
        </w:tc>
      </w:tr>
      <w:tr>
        <w:tc>
          <w:tcPr/>
          <w:p>
            <w:pPr>
              <w:pStyle w:val="Compact"/>
              <w:jc w:val="left"/>
            </w:pPr>
            <w:r>
              <w:t xml:space="preserve">Fee check</w:t>
            </w:r>
          </w:p>
        </w:tc>
        <w:tc>
          <w:tcPr/>
          <w:p>
            <w:pPr>
              <w:pStyle w:val="Compact"/>
              <w:jc w:val="left"/>
            </w:pPr>
            <w:r>
              <w:t xml:space="preserve">Amount matches an office fee amount exactly ($644, $1,044, $69, $595, $995, $49 and the office-specific lists)</w:t>
            </w:r>
          </w:p>
        </w:tc>
        <w:tc>
          <w:tcPr/>
          <w:p>
            <w:pPr>
              <w:pStyle w:val="Compact"/>
              <w:jc w:val="left"/>
            </w:pPr>
            <w:r>
              <w:t xml:space="preserve">Company revenue, not unclaimed property. Recognized when the item is matched in the ordinary course and captured by the year-end revenue true-up; fee checks are not moved to revenue en masse. At the annual review only a fee item being written off at that time is booked to revenue.</w:t>
            </w:r>
          </w:p>
        </w:tc>
      </w:tr>
      <w:tr>
        <w:tc>
          <w:tcPr/>
          <w:p>
            <w:pPr>
              <w:pStyle w:val="Compact"/>
              <w:jc w:val="left"/>
            </w:pPr>
            <w:r>
              <w:t xml:space="preserve">Small amount</w:t>
            </w:r>
          </w:p>
        </w:tc>
        <w:tc>
          <w:tcPr/>
          <w:p>
            <w:pPr>
              <w:pStyle w:val="Compact"/>
              <w:jc w:val="left"/>
            </w:pPr>
            <w:r>
              <w:t xml:space="preserve">At or under $250 and not an exact fee amount</w:t>
            </w:r>
          </w:p>
        </w:tc>
        <w:tc>
          <w:tcPr/>
          <w:p>
            <w:pPr>
              <w:pStyle w:val="Compact"/>
              <w:jc w:val="left"/>
            </w:pPr>
            <w:r>
              <w:t xml:space="preserve">Presumed fee; review the memo. Treated as a fee check once confirmed, otherwise as a commission check.</w:t>
            </w:r>
          </w:p>
        </w:tc>
      </w:tr>
      <w:tr>
        <w:tc>
          <w:tcPr/>
          <w:p>
            <w:pPr>
              <w:pStyle w:val="Compact"/>
              <w:jc w:val="left"/>
            </w:pPr>
            <w:r>
              <w:t xml:space="preserve">Memo-flagged</w:t>
            </w:r>
          </w:p>
        </w:tc>
        <w:tc>
          <w:tcPr/>
          <w:p>
            <w:pPr>
              <w:pStyle w:val="Compact"/>
              <w:jc w:val="left"/>
            </w:pPr>
            <w:r>
              <w:t xml:space="preserve">Memo says not ours, unknown property or agent, duplicate, or hold</w:t>
            </w:r>
          </w:p>
        </w:tc>
        <w:tc>
          <w:tcPr/>
          <w:p>
            <w:pPr>
              <w:pStyle w:val="Compact"/>
              <w:jc w:val="left"/>
            </w:pPr>
            <w:r>
              <w:t xml:space="preserve">Owed back to the payer. Refund it. If the payer cannot be identified, the amount is reportable to the formation state with the payer as owner.</w:t>
            </w:r>
          </w:p>
        </w:tc>
      </w:tr>
      <w:tr>
        <w:tc>
          <w:tcPr/>
          <w:p>
            <w:pPr>
              <w:pStyle w:val="Compact"/>
              <w:jc w:val="left"/>
            </w:pPr>
            <w:r>
              <w:t xml:space="preserve">Larger commission check</w:t>
            </w:r>
          </w:p>
        </w:tc>
        <w:tc>
          <w:tcPr/>
          <w:p>
            <w:pPr>
              <w:pStyle w:val="Compact"/>
              <w:jc w:val="left"/>
            </w:pPr>
            <w:r>
              <w:t xml:space="preserve">Everything else above $250</w:t>
            </w:r>
          </w:p>
        </w:tc>
        <w:tc>
          <w:tcPr/>
          <w:p>
            <w:pPr>
              <w:pStyle w:val="Compact"/>
              <w:jc w:val="left"/>
            </w:pPr>
            <w:r>
              <w:t xml:space="preserve">Company fee is revenue; the remainder is the agent’s and is reportable if unpaid past dormancy.</w:t>
            </w:r>
          </w:p>
        </w:tc>
      </w:tr>
      <w:tr>
        <w:tc>
          <w:tcPr/>
          <w:p>
            <w:pPr>
              <w:pStyle w:val="Compact"/>
              <w:jc w:val="left"/>
            </w:pPr>
            <w:r>
              <w:t xml:space="preserve">Legal hold</w:t>
            </w:r>
          </w:p>
        </w:tc>
        <w:tc>
          <w:tcPr/>
          <w:p>
            <w:pPr>
              <w:pStyle w:val="Compact"/>
              <w:jc w:val="left"/>
            </w:pPr>
            <w:r>
              <w:t xml:space="preserve">Memo cites law enforcement, litigation or a dispute</w:t>
            </w:r>
          </w:p>
        </w:tc>
        <w:tc>
          <w:tcPr/>
          <w:p>
            <w:pPr>
              <w:pStyle w:val="Compact"/>
              <w:jc w:val="left"/>
            </w:pPr>
            <w:r>
              <w:t xml:space="preserve">Segregate. No payment, refund or escheat without counsel.</w:t>
            </w:r>
          </w:p>
        </w:tc>
      </w:tr>
    </w:tbl>
    <w:p>
      <w:pPr>
        <w:pStyle w:val="BodyText"/>
      </w:pPr>
      <w:r>
        <w:rPr>
          <w:bCs/>
          <w:b/>
        </w:rPr>
        <w:t xml:space="preserve">Estimating the agent share when the paperwork is missing.</w:t>
      </w:r>
      <w:r>
        <w:t xml:space="preserve"> </w:t>
      </w:r>
      <w:r>
        <w:t xml:space="preserve">The company’s share of a commission check is fixed by contract, so the agent’s share can be estimated as the check less the standard fee for that office and period. Use the lower fee tier when the sale price is unknown ($595 plus $49 E&amp;O under the current schedule; $495 plus $49 for items before the schedule change), which leaves the larger and more conservative agent share. For TUR items on a split plan, apply the plan percentage from the Disbursement Authorization if known, otherwise the 70/30 mentorship split. Record the method on the item. States accept reasonable estimation where records do not exist, and this method is defensible because it is derived from the agreements themselves.</w:t>
      </w:r>
    </w:p>
    <w:p>
      <w:pPr>
        <w:pStyle w:val="BodyText"/>
      </w:pPr>
      <w:r>
        <w:rPr>
          <w:bCs/>
          <w:b/>
        </w:rPr>
        <w:t xml:space="preserve">Offsets.</w:t>
      </w:r>
      <w:r>
        <w:t xml:space="preserve"> </w:t>
      </w:r>
      <w:r>
        <w:t xml:space="preserve">Amounts an agent owes the company (dues, fees, E&amp;O deductibles, indemnity) may be deducted from the agent’s share under every agreement, provided the amount owed is documented at the time of offset. Attach the support to the item.</w:t>
      </w:r>
    </w:p>
    <w:p>
      <w:pPr>
        <w:pStyle w:val="BodyText"/>
      </w:pPr>
      <w:r>
        <w:rPr>
          <w:bCs/>
          <w:b/>
        </w:rPr>
        <w:t xml:space="preserve">Forfeitures.</w:t>
      </w:r>
      <w:r>
        <w:t xml:space="preserve"> </w:t>
      </w:r>
      <w:r>
        <w:t xml:space="preserve">The Philly agreement forfeits the agent’s share on files still incomplete 60 days after closing and retains 100% where a lapsed license is not reactivated within 30 days; the TUR agreement forfeits accrued commissions on certain breaches. These clauses are not relied on against the state: an item past dormancy is paid or reported at the agent’s share regardless of them (decision 10/6/2026; Legal framework, principle 4). They may be applied only to an item matched and settled in the ordinary course before dormancy, with the triggering facts documented per item.</w:t>
      </w:r>
    </w:p>
    <w:bookmarkEnd w:id="26"/>
    <w:bookmarkStart w:id="27" w:name="X681cd6a90ae37657b085c5e8b8e7eeea4e4a336"/>
    <w:p>
      <w:pPr>
        <w:pStyle w:val="Heading2"/>
      </w:pPr>
      <w:r>
        <w:t xml:space="preserve">Due diligence letters and the annual reporting calendar</w:t>
      </w:r>
    </w:p>
    <w:p>
      <w:pPr>
        <w:pStyle w:val="FirstParagraph"/>
      </w:pPr>
      <w:r>
        <w:t xml:space="preserve">A due-diligence letter goes to every owner with a usable address before any amount is remitted, and a response lets the company pay the owner directly instead of the state. Letters are sent by first-class mail to the last-known address, state the amount and that it will be delivered to the state if unclaimed, and are logged with the date sent and any response.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Report cutoff</w:t>
            </w:r>
          </w:p>
        </w:tc>
        <w:tc>
          <w:tcPr/>
          <w:p>
            <w:pPr>
              <w:pStyle w:val="Compact"/>
              <w:jc w:val="left"/>
            </w:pPr>
            <w:r>
              <w:t xml:space="preserve">Report and remittance due</w:t>
            </w:r>
          </w:p>
        </w:tc>
        <w:tc>
          <w:tcPr/>
          <w:p>
            <w:pPr>
              <w:pStyle w:val="Compact"/>
              <w:jc w:val="left"/>
            </w:pPr>
            <w:r>
              <w:t xml:space="preserve">Due-diligence rule</w:t>
            </w:r>
          </w:p>
        </w:tc>
        <w:tc>
          <w:tcPr/>
          <w:p>
            <w:pPr>
              <w:pStyle w:val="Compact"/>
              <w:jc w:val="left"/>
            </w:pPr>
            <w:r>
              <w:t xml:space="preserve">Governs</w:t>
            </w:r>
          </w:p>
        </w:tc>
      </w:tr>
      <w:tr>
        <w:tc>
          <w:tcPr/>
          <w:p>
            <w:pPr>
              <w:pStyle w:val="Compact"/>
              <w:jc w:val="left"/>
            </w:pPr>
            <w:r>
              <w:t xml:space="preserve">Texas</w:t>
            </w:r>
          </w:p>
        </w:tc>
        <w:tc>
          <w:tcPr/>
          <w:p>
            <w:pPr>
              <w:pStyle w:val="Compact"/>
              <w:jc w:val="left"/>
            </w:pPr>
            <w:r>
              <w:t xml:space="preserve">March 1</w:t>
            </w:r>
          </w:p>
        </w:tc>
        <w:tc>
          <w:tcPr/>
          <w:p>
            <w:pPr>
              <w:pStyle w:val="Compact"/>
              <w:jc w:val="left"/>
            </w:pPr>
            <w:r>
              <w:t xml:space="preserve">July 1</w:t>
            </w:r>
          </w:p>
        </w:tc>
        <w:tc>
          <w:tcPr/>
          <w:p>
            <w:pPr>
              <w:pStyle w:val="Compact"/>
              <w:jc w:val="left"/>
            </w:pPr>
            <w:r>
              <w:t xml:space="preserve">Notice at least 60 days before delivery for property over $250 (Prop. Code 74.1011)</w:t>
            </w:r>
          </w:p>
        </w:tc>
        <w:tc>
          <w:tcPr/>
          <w:p>
            <w:pPr>
              <w:pStyle w:val="Compact"/>
              <w:jc w:val="left"/>
            </w:pPr>
            <w:r>
              <w:t xml:space="preserve">Dallas, Houston, TUR, and unknown-agent items at Chicago, Philly and DC</w:t>
            </w:r>
          </w:p>
        </w:tc>
      </w:tr>
      <w:tr>
        <w:tc>
          <w:tcPr/>
          <w:p>
            <w:pPr>
              <w:pStyle w:val="Compact"/>
              <w:jc w:val="left"/>
            </w:pPr>
            <w:r>
              <w:t xml:space="preserve">Florida</w:t>
            </w:r>
          </w:p>
        </w:tc>
        <w:tc>
          <w:tcPr/>
          <w:p>
            <w:pPr>
              <w:pStyle w:val="Compact"/>
              <w:jc w:val="left"/>
            </w:pPr>
            <w:r>
              <w:t xml:space="preserve">December 31</w:t>
            </w:r>
          </w:p>
        </w:tc>
        <w:tc>
          <w:tcPr/>
          <w:p>
            <w:pPr>
              <w:pStyle w:val="Compact"/>
              <w:jc w:val="left"/>
            </w:pPr>
            <w:r>
              <w:t xml:space="preserve">Before May 1</w:t>
            </w:r>
          </w:p>
        </w:tc>
        <w:tc>
          <w:tcPr/>
          <w:p>
            <w:pPr>
              <w:pStyle w:val="Compact"/>
              <w:jc w:val="left"/>
            </w:pPr>
            <w:r>
              <w:t xml:space="preserve">Notice 60 to 120 days before filing for $50 or more (Fla. Stat. 717.117(6))</w:t>
            </w:r>
          </w:p>
        </w:tc>
        <w:tc>
          <w:tcPr/>
          <w:p>
            <w:pPr>
              <w:pStyle w:val="Compact"/>
              <w:jc w:val="left"/>
            </w:pPr>
            <w:r>
              <w:t xml:space="preserve">Gallery</w:t>
            </w:r>
          </w:p>
        </w:tc>
      </w:tr>
      <w:tr>
        <w:tc>
          <w:tcPr/>
          <w:p>
            <w:pPr>
              <w:pStyle w:val="Compact"/>
              <w:jc w:val="left"/>
            </w:pPr>
            <w:r>
              <w:t xml:space="preserve">Alabama</w:t>
            </w:r>
          </w:p>
        </w:tc>
        <w:tc>
          <w:tcPr/>
          <w:p>
            <w:pPr>
              <w:pStyle w:val="Compact"/>
              <w:jc w:val="left"/>
            </w:pPr>
            <w:r>
              <w:t xml:space="preserve">June 30</w:t>
            </w:r>
          </w:p>
        </w:tc>
        <w:tc>
          <w:tcPr/>
          <w:p>
            <w:pPr>
              <w:pStyle w:val="Compact"/>
              <w:jc w:val="left"/>
            </w:pPr>
            <w:r>
              <w:t xml:space="preserve">November 1</w:t>
            </w:r>
          </w:p>
        </w:tc>
        <w:tc>
          <w:tcPr/>
          <w:p>
            <w:pPr>
              <w:pStyle w:val="Compact"/>
              <w:jc w:val="left"/>
            </w:pPr>
            <w:r>
              <w:t xml:space="preserve">Notice at least 60 days before filing for $50 or more (Ala. Code 35-12-76(d))</w:t>
            </w:r>
          </w:p>
        </w:tc>
        <w:tc>
          <w:tcPr/>
          <w:p>
            <w:pPr>
              <w:pStyle w:val="Compact"/>
              <w:jc w:val="left"/>
            </w:pPr>
            <w:r>
              <w:t xml:space="preserve">Leading Edge</w:t>
            </w:r>
          </w:p>
        </w:tc>
      </w:tr>
      <w:tr>
        <w:tc>
          <w:tcPr/>
          <w:p>
            <w:pPr>
              <w:pStyle w:val="Compact"/>
              <w:jc w:val="left"/>
            </w:pPr>
            <w:r>
              <w:t xml:space="preserve">Pennsylvania</w:t>
            </w:r>
          </w:p>
        </w:tc>
        <w:tc>
          <w:tcPr/>
          <w:p>
            <w:pPr>
              <w:pStyle w:val="Compact"/>
              <w:jc w:val="left"/>
            </w:pPr>
            <w:r>
              <w:t xml:space="preserve">December 31</w:t>
            </w:r>
          </w:p>
        </w:tc>
        <w:tc>
          <w:tcPr/>
          <w:p>
            <w:pPr>
              <w:pStyle w:val="Compact"/>
              <w:jc w:val="left"/>
            </w:pPr>
            <w:r>
              <w:t xml:space="preserve">April 15</w:t>
            </w:r>
          </w:p>
        </w:tc>
        <w:tc>
          <w:tcPr/>
          <w:p>
            <w:pPr>
              <w:pStyle w:val="Compact"/>
              <w:jc w:val="left"/>
            </w:pPr>
            <w:r>
              <w:t xml:space="preserve">Notice 60 to 120 days before the deadline for $50 or more</w:t>
            </w:r>
          </w:p>
        </w:tc>
        <w:tc>
          <w:tcPr/>
          <w:p>
            <w:pPr>
              <w:pStyle w:val="Compact"/>
              <w:jc w:val="left"/>
            </w:pPr>
            <w:r>
              <w:t xml:space="preserve">Philly items with a PA agent address</w:t>
            </w:r>
          </w:p>
        </w:tc>
      </w:tr>
      <w:tr>
        <w:tc>
          <w:tcPr/>
          <w:p>
            <w:pPr>
              <w:pStyle w:val="Compact"/>
              <w:jc w:val="left"/>
            </w:pPr>
            <w:r>
              <w:t xml:space="preserve">Illinois</w:t>
            </w:r>
          </w:p>
        </w:tc>
        <w:tc>
          <w:tcPr/>
          <w:p>
            <w:pPr>
              <w:pStyle w:val="Compact"/>
              <w:jc w:val="left"/>
            </w:pPr>
            <w:r>
              <w:t xml:space="preserve">December 31 (business associations, 765 ILCS 1026/15-403(b))</w:t>
            </w:r>
          </w:p>
        </w:tc>
        <w:tc>
          <w:tcPr/>
          <w:p>
            <w:pPr>
              <w:pStyle w:val="Compact"/>
              <w:jc w:val="left"/>
            </w:pPr>
            <w:r>
              <w:t xml:space="preserve">Before May 1</w:t>
            </w:r>
          </w:p>
        </w:tc>
        <w:tc>
          <w:tcPr/>
          <w:p>
            <w:pPr>
              <w:pStyle w:val="Compact"/>
              <w:jc w:val="left"/>
            </w:pPr>
            <w:r>
              <w:t xml:space="preserve">Letter 60 days to one year before filing for $50 or more (15-501)</w:t>
            </w:r>
          </w:p>
        </w:tc>
        <w:tc>
          <w:tcPr/>
          <w:p>
            <w:pPr>
              <w:pStyle w:val="Compact"/>
              <w:jc w:val="left"/>
            </w:pPr>
            <w:r>
              <w:t xml:space="preserve">Chicago items with an IL agent address</w:t>
            </w:r>
          </w:p>
        </w:tc>
      </w:tr>
    </w:tbl>
    <w:p>
      <w:pPr>
        <w:pStyle w:val="BodyText"/>
      </w:pPr>
      <w:r>
        <w:t xml:space="preserve">The practical sequence each year: the December review (as of November 30) identifies every item that is dormant, or will be dormant by December 31, March 1 or June 30; one batch of due-diligence letters goes out between January 1 and February 14, which is inside Pennsylvania’s and Florida’s windows and earlier than Illinois, Texas and Alabama require; and the reports are prepared in the same cycle and submitted on each state’s statutory date: Pennsylvania April 15, Illinois and Florida May 1, Texas July 1 (property held on March 1) and Alabama November 1 (property dormant by June 30). The review must finish before Pennsylvania’s letter window closes on February 14. Whether Texas and Illinois accept a report filed months early, and whether Alabama accepts early remittance, was not verified; the dates above are the statutory ones.</w:t>
      </w:r>
    </w:p>
    <w:p>
      <w:pPr>
        <w:pStyle w:val="BodyText"/>
      </w:pPr>
      <w:r>
        <w:rPr>
          <w:bCs/>
          <w:b/>
        </w:rPr>
        <w:t xml:space="preserve">If a cutoff is missed.</w:t>
      </w:r>
      <w:r>
        <w:t xml:space="preserve"> </w:t>
      </w:r>
      <w:r>
        <w:t xml:space="preserve">Nothing is forgiven and nothing is forfeited. The item becomes past-due property: it goes on the next report with its original dormancy date, and the state may charge interest and penalties for the delay. Good faith is the protection: a written policy, documented reviews and filed reports are what every state’s waiver turns on, and property that is never reported keeps the enforcement window open indefinitely in Texas, Illinois and Alabama. Verified from the statutes on 10/6/2026: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Interest</w:t>
            </w:r>
          </w:p>
        </w:tc>
        <w:tc>
          <w:tcPr/>
          <w:p>
            <w:pPr>
              <w:pStyle w:val="Compact"/>
              <w:jc w:val="left"/>
            </w:pPr>
            <w:r>
              <w:t xml:space="preserve">Penalty</w:t>
            </w:r>
          </w:p>
        </w:tc>
        <w:tc>
          <w:tcPr/>
          <w:p>
            <w:pPr>
              <w:pStyle w:val="Compact"/>
              <w:jc w:val="left"/>
            </w:pPr>
            <w:r>
              <w:t xml:space="preserve">Waiver</w:t>
            </w:r>
          </w:p>
        </w:tc>
        <w:tc>
          <w:tcPr/>
          <w:p>
            <w:pPr>
              <w:pStyle w:val="Compact"/>
              <w:jc w:val="left"/>
            </w:pPr>
            <w:r>
              <w:t xml:space="preserve">Enforcement window</w:t>
            </w:r>
          </w:p>
        </w:tc>
      </w:tr>
      <w:tr>
        <w:tc>
          <w:tcPr/>
          <w:p>
            <w:pPr>
              <w:pStyle w:val="Compact"/>
              <w:jc w:val="left"/>
            </w:pPr>
            <w:r>
              <w:t xml:space="preserve">Texas</w:t>
            </w:r>
          </w:p>
        </w:tc>
        <w:tc>
          <w:tcPr/>
          <w:p>
            <w:pPr>
              <w:pStyle w:val="Compact"/>
              <w:jc w:val="left"/>
            </w:pPr>
            <w:r>
              <w:t xml:space="preserve">10% a year from the date the property should have been delivered (74.705)</w:t>
            </w:r>
          </w:p>
        </w:tc>
        <w:tc>
          <w:tcPr/>
          <w:p>
            <w:pPr>
              <w:pStyle w:val="Compact"/>
              <w:jc w:val="left"/>
            </w:pPr>
            <w:r>
              <w:t xml:space="preserve">5% of the value, plus a further 5% if more than 30 days late (74.706); wilful violation is a criminal offense (74.710)</w:t>
            </w:r>
          </w:p>
        </w:tc>
        <w:tc>
          <w:tcPr/>
          <w:p>
            <w:pPr>
              <w:pStyle w:val="Compact"/>
              <w:jc w:val="left"/>
            </w:pPr>
            <w:r>
              <w:t xml:space="preserve">Comptroller may waive for a good-faith effort to comply (74.707)</w:t>
            </w:r>
          </w:p>
        </w:tc>
        <w:tc>
          <w:tcPr/>
          <w:p>
            <w:pPr>
              <w:pStyle w:val="Compact"/>
              <w:jc w:val="left"/>
            </w:pPr>
            <w:r>
              <w:t xml:space="preserve">Examination must begin within 7 years of a filed report (74.7021); no clock runs on property never reported</w:t>
            </w:r>
          </w:p>
        </w:tc>
      </w:tr>
      <w:tr>
        <w:tc>
          <w:tcPr/>
          <w:p>
            <w:pPr>
              <w:pStyle w:val="Compact"/>
              <w:jc w:val="left"/>
            </w:pPr>
            <w:r>
              <w:t xml:space="preserve">Pennsylvania</w:t>
            </w:r>
          </w:p>
        </w:tc>
        <w:tc>
          <w:tcPr/>
          <w:p>
            <w:pPr>
              <w:pStyle w:val="Compact"/>
              <w:jc w:val="left"/>
            </w:pPr>
            <w:r>
              <w:t xml:space="preserve">12% a year from when the report was due (1301.24(b))</w:t>
            </w:r>
          </w:p>
        </w:tc>
        <w:tc>
          <w:tcPr/>
          <w:p>
            <w:pPr>
              <w:pStyle w:val="Compact"/>
              <w:jc w:val="left"/>
            </w:pPr>
            <w:r>
              <w:t xml:space="preserve">Up to $1,000 a day until a proper report is filed (1301.24(c)); fines up to $10,000 (1301.25)</w:t>
            </w:r>
          </w:p>
        </w:tc>
        <w:tc>
          <w:tcPr/>
          <w:p>
            <w:pPr>
              <w:pStyle w:val="Compact"/>
              <w:jc w:val="left"/>
            </w:pPr>
            <w:r>
              <w:t xml:space="preserve">Treasurer may waive for good cause and must waive penalties for a good-faith, non-negligent holder (1301.25(c))</w:t>
            </w:r>
          </w:p>
        </w:tc>
        <w:tc>
          <w:tcPr/>
          <w:p>
            <w:pPr>
              <w:pStyle w:val="Compact"/>
              <w:jc w:val="left"/>
            </w:pPr>
            <w:r>
              <w:t xml:space="preserve">15 years from a filed report (1301.16)</w:t>
            </w:r>
          </w:p>
        </w:tc>
      </w:tr>
      <w:tr>
        <w:tc>
          <w:tcPr/>
          <w:p>
            <w:pPr>
              <w:pStyle w:val="Compact"/>
              <w:jc w:val="left"/>
            </w:pPr>
            <w:r>
              <w:t xml:space="preserve">Illinois</w:t>
            </w:r>
          </w:p>
        </w:tc>
        <w:tc>
          <w:tcPr/>
          <w:p>
            <w:pPr>
              <w:pStyle w:val="Compact"/>
              <w:jc w:val="left"/>
            </w:pPr>
            <w:r>
              <w:t xml:space="preserve">Interest and penalties under the Act; the Treasurer’s VDA forgoes both</w:t>
            </w:r>
          </w:p>
        </w:tc>
        <w:tc>
          <w:tcPr/>
          <w:p>
            <w:pPr>
              <w:pStyle w:val="Compact"/>
              <w:jc w:val="left"/>
            </w:pPr>
            <w:r>
              <w:t xml:space="preserve">Not read in detail</w:t>
            </w:r>
          </w:p>
        </w:tc>
        <w:tc>
          <w:tcPr/>
          <w:p>
            <w:pPr>
              <w:pStyle w:val="Compact"/>
              <w:jc w:val="left"/>
            </w:pPr>
            <w:r>
              <w:t xml:space="preserve">Through the VDA</w:t>
            </w:r>
          </w:p>
        </w:tc>
        <w:tc>
          <w:tcPr/>
          <w:p>
            <w:pPr>
              <w:pStyle w:val="Compact"/>
              <w:jc w:val="left"/>
            </w:pPr>
            <w:r>
              <w:t xml:space="preserve">10 years from the report that identified the property; tolled if never reported (15-610(b))</w:t>
            </w:r>
          </w:p>
        </w:tc>
      </w:tr>
      <w:tr>
        <w:tc>
          <w:tcPr/>
          <w:p>
            <w:pPr>
              <w:pStyle w:val="Compact"/>
              <w:jc w:val="left"/>
            </w:pPr>
            <w:r>
              <w:t xml:space="preserve">Florida</w:t>
            </w:r>
          </w:p>
        </w:tc>
        <w:tc>
          <w:tcPr/>
          <w:p>
            <w:pPr>
              <w:pStyle w:val="Compact"/>
              <w:jc w:val="left"/>
            </w:pPr>
            <w:r>
              <w:t xml:space="preserve">None stated for late property</w:t>
            </w:r>
          </w:p>
        </w:tc>
        <w:tc>
          <w:tcPr/>
          <w:p>
            <w:pPr>
              <w:pStyle w:val="Compact"/>
              <w:jc w:val="left"/>
            </w:pPr>
            <w:r>
              <w:t xml:space="preserve">Late report $10 a day up to $500 (717.117(5)); wilful failure to report $500 a day up to $5,000 plus 25% of the unreported value (717.134)</w:t>
            </w:r>
          </w:p>
        </w:tc>
        <w:tc>
          <w:tcPr/>
          <w:p>
            <w:pPr>
              <w:pStyle w:val="Compact"/>
              <w:jc w:val="left"/>
            </w:pPr>
            <w:r>
              <w:t xml:space="preserve">Must waive where the holder acted in good faith and without negligence (717.134)</w:t>
            </w:r>
          </w:p>
        </w:tc>
        <w:tc>
          <w:tcPr/>
          <w:p>
            <w:pPr>
              <w:pStyle w:val="Compact"/>
              <w:jc w:val="left"/>
            </w:pPr>
            <w:r>
              <w:t xml:space="preserve">10 years after the duty arose (717.129(2))</w:t>
            </w:r>
          </w:p>
        </w:tc>
      </w:tr>
      <w:tr>
        <w:tc>
          <w:tcPr/>
          <w:p>
            <w:pPr>
              <w:pStyle w:val="Compact"/>
              <w:jc w:val="left"/>
            </w:pPr>
            <w:r>
              <w:t xml:space="preserve">Alabama</w:t>
            </w:r>
          </w:p>
        </w:tc>
        <w:tc>
          <w:tcPr/>
          <w:p>
            <w:pPr>
              <w:pStyle w:val="Compact"/>
              <w:jc w:val="left"/>
            </w:pPr>
            <w:r>
              <w:t xml:space="preserve">None stated</w:t>
            </w:r>
          </w:p>
        </w:tc>
        <w:tc>
          <w:tcPr/>
          <w:p>
            <w:pPr>
              <w:pStyle w:val="Compact"/>
              <w:jc w:val="left"/>
            </w:pPr>
            <w:r>
              <w:t xml:space="preserve">$100 per business day up to $5,000; $500 a day up to $25,000 if wilful (35-12-92)</w:t>
            </w:r>
          </w:p>
        </w:tc>
        <w:tc>
          <w:tcPr/>
          <w:p>
            <w:pPr>
              <w:pStyle w:val="Compact"/>
              <w:jc w:val="left"/>
            </w:pPr>
            <w:r>
              <w:t xml:space="preserve">Must waive penalties where the holder acted in good faith (35-12-92(d))</w:t>
            </w:r>
          </w:p>
        </w:tc>
        <w:tc>
          <w:tcPr/>
          <w:p>
            <w:pPr>
              <w:pStyle w:val="Compact"/>
              <w:jc w:val="left"/>
            </w:pPr>
            <w:r>
              <w:t xml:space="preserve">10 years from the report; tolled if never reported (35-12-88(b))</w:t>
            </w:r>
          </w:p>
        </w:tc>
      </w:tr>
    </w:tbl>
    <w:bookmarkEnd w:id="27"/>
    <w:bookmarkStart w:id="28" w:name="accounting-treatment"/>
    <w:p>
      <w:pPr>
        <w:pStyle w:val="Heading2"/>
      </w:pPr>
      <w:r>
        <w:t xml:space="preserve">Accounting treatment</w:t>
      </w:r>
    </w:p>
    <w:p>
      <w:pPr>
        <w:pStyle w:val="FirstParagraph"/>
      </w:pPr>
      <w:r>
        <w:t xml:space="preserve">The accrued commission balance should be carried as a liability until each item is resolved, and resolved items leave it through one of four entries. Account numbers below follow the commission bank rec convention (deposits to commission receivable 120001, accrual 260000, commissions payable 221000, AP 220000); confirm them against the chart of accounts before 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Debit</w:t>
            </w:r>
          </w:p>
        </w:tc>
        <w:tc>
          <w:tcPr/>
          <w:p>
            <w:pPr>
              <w:pStyle w:val="Compact"/>
              <w:jc w:val="left"/>
            </w:pPr>
            <w:r>
              <w:t xml:space="preserve">Credit</w:t>
            </w:r>
          </w:p>
        </w:tc>
        <w:tc>
          <w:tcPr/>
          <w:p>
            <w:pPr>
              <w:pStyle w:val="Compact"/>
              <w:jc w:val="left"/>
            </w:pPr>
            <w:r>
              <w:t xml:space="preserve">Note</w:t>
            </w:r>
          </w:p>
        </w:tc>
      </w:tr>
      <w:tr>
        <w:tc>
          <w:tcPr/>
          <w:p>
            <w:pPr>
              <w:pStyle w:val="Compact"/>
              <w:jc w:val="left"/>
            </w:pPr>
            <w:r>
              <w:t xml:space="preserve">Deposit received, unmatched</w:t>
            </w:r>
          </w:p>
        </w:tc>
        <w:tc>
          <w:tcPr/>
          <w:p>
            <w:pPr>
              <w:pStyle w:val="Compact"/>
              <w:jc w:val="left"/>
            </w:pPr>
            <w:r>
              <w:t xml:space="preserve">Cash</w:t>
            </w:r>
          </w:p>
        </w:tc>
        <w:tc>
          <w:tcPr/>
          <w:p>
            <w:pPr>
              <w:pStyle w:val="Compact"/>
              <w:jc w:val="left"/>
            </w:pPr>
            <w:r>
              <w:t xml:space="preserve">Accrued commissions (260000)</w:t>
            </w:r>
          </w:p>
        </w:tc>
        <w:tc>
          <w:tcPr/>
          <w:p>
            <w:pPr>
              <w:pStyle w:val="Compact"/>
              <w:jc w:val="left"/>
            </w:pPr>
            <w:r>
              <w:t xml:space="preserve">Already how the cash tabs work</w:t>
            </w:r>
          </w:p>
        </w:tc>
      </w:tr>
      <w:tr>
        <w:tc>
          <w:tcPr/>
          <w:p>
            <w:pPr>
              <w:pStyle w:val="Compact"/>
              <w:jc w:val="left"/>
            </w:pPr>
            <w:r>
              <w:t xml:space="preserve">Fee check matched</w:t>
            </w:r>
          </w:p>
        </w:tc>
        <w:tc>
          <w:tcPr/>
          <w:p>
            <w:pPr>
              <w:pStyle w:val="Compact"/>
              <w:jc w:val="left"/>
            </w:pPr>
            <w:r>
              <w:t xml:space="preserve">Accrued commissions</w:t>
            </w:r>
          </w:p>
        </w:tc>
        <w:tc>
          <w:tcPr/>
          <w:p>
            <w:pPr>
              <w:pStyle w:val="Compact"/>
              <w:jc w:val="left"/>
            </w:pPr>
            <w:r>
              <w:t xml:space="preserve">Transaction fee revenue / E&amp;O revenue</w:t>
            </w:r>
          </w:p>
        </w:tc>
        <w:tc>
          <w:tcPr/>
          <w:p>
            <w:pPr>
              <w:pStyle w:val="Compact"/>
              <w:jc w:val="left"/>
            </w:pPr>
            <w:r>
              <w:t xml:space="preserve">Company’s money; booked when matched in the ordinary course, at the year-end true-up, or when written off at the annual review</w:t>
            </w:r>
          </w:p>
        </w:tc>
      </w:tr>
      <w:tr>
        <w:tc>
          <w:tcPr/>
          <w:p>
            <w:pPr>
              <w:pStyle w:val="Compact"/>
              <w:jc w:val="left"/>
            </w:pPr>
            <w:r>
              <w:t xml:space="preserve">Commission check matched, agent paid</w:t>
            </w:r>
          </w:p>
        </w:tc>
        <w:tc>
          <w:tcPr/>
          <w:p>
            <w:pPr>
              <w:pStyle w:val="Compact"/>
              <w:jc w:val="left"/>
            </w:pPr>
            <w:r>
              <w:t xml:space="preserve">Accrued commissions</w:t>
            </w:r>
          </w:p>
        </w:tc>
        <w:tc>
          <w:tcPr/>
          <w:p>
            <w:pPr>
              <w:pStyle w:val="Compact"/>
              <w:jc w:val="left"/>
            </w:pPr>
            <w:r>
              <w:t xml:space="preserve">Revenue (company fee) and Commissions payable (221000), then Cash when paid</w:t>
            </w:r>
          </w:p>
        </w:tc>
        <w:tc>
          <w:tcPr/>
          <w:p>
            <w:pPr>
              <w:pStyle w:val="Compact"/>
              <w:jc w:val="left"/>
            </w:pPr>
            <w:r>
              <w:t xml:space="preserve">Split per the file or the estimation rule</w:t>
            </w:r>
          </w:p>
        </w:tc>
      </w:tr>
      <w:tr>
        <w:tc>
          <w:tcPr/>
          <w:p>
            <w:pPr>
              <w:pStyle w:val="Compact"/>
              <w:jc w:val="left"/>
            </w:pPr>
            <w:r>
              <w:t xml:space="preserve">Refund to payer</w:t>
            </w:r>
          </w:p>
        </w:tc>
        <w:tc>
          <w:tcPr/>
          <w:p>
            <w:pPr>
              <w:pStyle w:val="Compact"/>
              <w:jc w:val="left"/>
            </w:pPr>
            <w:r>
              <w:t xml:space="preserve">Accrued commissions</w:t>
            </w:r>
          </w:p>
        </w:tc>
        <w:tc>
          <w:tcPr/>
          <w:p>
            <w:pPr>
              <w:pStyle w:val="Compact"/>
              <w:jc w:val="left"/>
            </w:pPr>
            <w:r>
              <w:t xml:space="preserve">Cash</w:t>
            </w:r>
          </w:p>
        </w:tc>
        <w:tc>
          <w:tcPr/>
          <w:p>
            <w:pPr>
              <w:pStyle w:val="Compact"/>
              <w:jc w:val="left"/>
            </w:pPr>
            <w:r>
              <w:t xml:space="preserve">Attach the refund support</w:t>
            </w:r>
          </w:p>
        </w:tc>
      </w:tr>
      <w:tr>
        <w:tc>
          <w:tcPr/>
          <w:p>
            <w:pPr>
              <w:pStyle w:val="Compact"/>
              <w:jc w:val="left"/>
            </w:pPr>
            <w:r>
              <w:t xml:space="preserve">Remittance to a state</w:t>
            </w:r>
          </w:p>
        </w:tc>
        <w:tc>
          <w:tcPr/>
          <w:p>
            <w:pPr>
              <w:pStyle w:val="Compact"/>
              <w:jc w:val="left"/>
            </w:pPr>
            <w:r>
              <w:t xml:space="preserve">Commissions payable (or accrued commissions)</w:t>
            </w:r>
          </w:p>
        </w:tc>
        <w:tc>
          <w:tcPr/>
          <w:p>
            <w:pPr>
              <w:pStyle w:val="Compact"/>
              <w:jc w:val="left"/>
            </w:pPr>
            <w:r>
              <w:t xml:space="preserve">Cash</w:t>
            </w:r>
          </w:p>
        </w:tc>
        <w:tc>
          <w:tcPr/>
          <w:p>
            <w:pPr>
              <w:pStyle w:val="Compact"/>
              <w:jc w:val="left"/>
            </w:pPr>
            <w:r>
              <w:t xml:space="preserve">One entry per state report; attach the report</w:t>
            </w:r>
          </w:p>
        </w:tc>
      </w:tr>
      <w:tr>
        <w:tc>
          <w:tcPr/>
          <w:p>
            <w:pPr>
              <w:pStyle w:val="Compact"/>
              <w:jc w:val="left"/>
            </w:pPr>
            <w:r>
              <w:t xml:space="preserve">Retention under a forfeiture or offset confirmed by counsel</w:t>
            </w:r>
          </w:p>
        </w:tc>
        <w:tc>
          <w:tcPr/>
          <w:p>
            <w:pPr>
              <w:pStyle w:val="Compact"/>
              <w:jc w:val="left"/>
            </w:pPr>
            <w:r>
              <w:t xml:space="preserve">Accrued commissions</w:t>
            </w:r>
          </w:p>
        </w:tc>
        <w:tc>
          <w:tcPr/>
          <w:p>
            <w:pPr>
              <w:pStyle w:val="Compact"/>
              <w:jc w:val="left"/>
            </w:pPr>
            <w:r>
              <w:t xml:space="preserve">Revenue</w:t>
            </w:r>
          </w:p>
        </w:tc>
        <w:tc>
          <w:tcPr/>
          <w:p>
            <w:pPr>
              <w:pStyle w:val="Compact"/>
              <w:jc w:val="left"/>
            </w:pPr>
            <w:r>
              <w:t xml:space="preserve">Only with the counsel memo and item support attached</w:t>
            </w:r>
          </w:p>
        </w:tc>
      </w:tr>
    </w:tbl>
    <w:p>
      <w:pPr>
        <w:pStyle w:val="BodyText"/>
      </w:pPr>
      <w:r>
        <w:t xml:space="preserve">Two things never happen: an aged item is not written off to revenue because the owner is unknown, and an estimated agent share is not reversed into income because no claim arrived. Reserve the estimated agent share in commissions payable until it is paid or remitted.</w:t>
      </w:r>
    </w:p>
    <w:p>
      <w:pPr>
        <w:pStyle w:val="BodyText"/>
      </w:pPr>
      <w:r>
        <w:rPr>
          <w:bCs/>
          <w:b/>
        </w:rPr>
        <w:t xml:space="preserve">After remittance.</w:t>
      </w:r>
      <w:r>
        <w:t xml:space="preserve"> </w:t>
      </w:r>
      <w:r>
        <w:t xml:space="preserve">Good-faith delivery to a state relieves the holder of liability for the property (Tex. Prop. Code 74.304; 72 P.S. 1301.14; Fla. Stat. 717.1201; Ala. Code 35-12-79; 765 ILCS 1026/15-604). If an agent later submits the file for a transaction whose commission has already been remitted, the transaction is still processed in Paperless Pipeline and the agent is still paid: either the agent claims the money from the state, or the company pays the agent and files for reimbursement from the state (Texas 74.502; Pennsylvania 1301.14, with interest; Florida 717.1201(3); Alabama 35-12-79(c); Illinois 15-605). The company’s fee on that transaction is revenue as usual. Keep the state report reference on the item so the reimbursement claim can be filed.</w:t>
      </w:r>
    </w:p>
    <w:bookmarkEnd w:id="28"/>
    <w:bookmarkStart w:id="29" w:name="records-retention"/>
    <w:p>
      <w:pPr>
        <w:pStyle w:val="Heading2"/>
      </w:pPr>
      <w:r>
        <w:t xml:space="preserve">Records retention</w:t>
      </w:r>
    </w:p>
    <w:p>
      <w:pPr>
        <w:pStyle w:val="FirstParagraph"/>
      </w:pPr>
      <w:r>
        <w:t xml:space="preserve">Keep every record that supports an item for ten years after the report that includes it, or ten years after resolution if it was never reported. That is longer than TUR’s four-year policy and longer than the normal transaction file retention, because unclaimed property audits reach back ten years or more and an undocumented item is treated as reportable in full.</w:t>
      </w:r>
    </w:p>
    <w:p>
      <w:pPr>
        <w:pStyle w:val="BodyText"/>
      </w:pPr>
      <w:r>
        <w:t xml:space="preserve">For each item, retain: the deposit record and check image, the Paperless Pipeline file or Disbursement Authorization, the Closing Disclosure, the agent’s Independent Contractor Agreement and Agent Information sheet, the due-diligence letter and any response, the refund or payment record, the state report and remittance confirmation, and any counsel memo supporting an offset or retention. The annual memos and each year’s workbook are kept for the same period.</w:t>
      </w:r>
    </w:p>
    <w:bookmarkEnd w:id="29"/>
    <w:bookmarkStart w:id="30" w:name="initial-remediation"/>
    <w:p>
      <w:pPr>
        <w:pStyle w:val="Heading2"/>
      </w:pPr>
      <w:r>
        <w:t xml:space="preserve">Initial remediation</w:t>
      </w:r>
    </w:p>
    <w:p>
      <w:pPr>
        <w:pStyle w:val="FirstParagraph"/>
      </w:pPr>
      <w:r>
        <w:t xml:space="preserve">The first review under this policy works the backlog that accumulated before it existed. It follows the same annual review steps, applied to every item already past a threshold or approaching the next cutoff, and it packages the open legal questions for counsel in one submission rather than piecemeal.</w:t>
      </w:r>
    </w:p>
    <w:p>
      <w:pPr>
        <w:numPr>
          <w:ilvl w:val="0"/>
          <w:numId w:val="1004"/>
        </w:numPr>
        <w:pStyle w:val="Compact"/>
      </w:pPr>
      <w:r>
        <w:t xml:space="preserve">Confirm the fee checks and small items as company fees; they stay in the ordinary matching process and the year-end revenue true-up, and only an item being written off at this review is booked to revenue now.</w:t>
      </w:r>
    </w:p>
    <w:p>
      <w:pPr>
        <w:numPr>
          <w:ilvl w:val="0"/>
          <w:numId w:val="1004"/>
        </w:numPr>
        <w:pStyle w:val="Compact"/>
      </w:pPr>
      <w:r>
        <w:t xml:space="preserve">Refund the memo-flagged items to their payers; keep any legal-hold item segregated.</w:t>
      </w:r>
    </w:p>
    <w:p>
      <w:pPr>
        <w:numPr>
          <w:ilvl w:val="0"/>
          <w:numId w:val="1004"/>
        </w:numPr>
        <w:pStyle w:val="Compact"/>
      </w:pPr>
      <w:r>
        <w:t xml:space="preserve">Work the threshold items oldest first: identify the owner, set the split, send letters.</w:t>
      </w:r>
    </w:p>
    <w:p>
      <w:pPr>
        <w:numPr>
          <w:ilvl w:val="0"/>
          <w:numId w:val="1004"/>
        </w:numPr>
        <w:pStyle w:val="Compact"/>
      </w:pPr>
      <w:r>
        <w:t xml:space="preserve">Take the adopted positions to counsel in one package for confirmation: the Texas 3-year period for contractor commissions, the formation-state default for the Chicago and Philly entities, the decision not to rely on the Philly and TUR forfeiture clauses, the offset clauses, and the Texas voluntary disclosure for the Texas entities together.</w:t>
      </w:r>
    </w:p>
    <w:p>
      <w:pPr>
        <w:numPr>
          <w:ilvl w:val="0"/>
          <w:numId w:val="1004"/>
        </w:numPr>
        <w:pStyle w:val="Compact"/>
      </w:pPr>
      <w:r>
        <w:t xml:space="preserve">Report and remit the dormant remainder on each state’s next cycle, through a VDA where counsel recommends it.</w:t>
      </w:r>
    </w:p>
    <w:p>
      <w:pPr>
        <w:pStyle w:val="FirstParagraph"/>
      </w:pPr>
      <w:r>
        <w:t xml:space="preserve">The figures, the item list and the decisions put to the CFO and counsel for the initial remediation are in the findings memo dated 10/6/2026 and the analysis workbook, not here.</w:t>
      </w:r>
    </w:p>
    <w:p>
      <w:pPr>
        <w:pStyle w:val="BodyText"/>
      </w:pPr>
      <w:r>
        <w:t xml:space="preserve">Target: the counsel package delivered before the first state cutoff that follows adoption of this policy, and the first filings on that state’s next cycle.</w:t>
      </w:r>
    </w:p>
    <w:bookmarkEnd w:id="30"/>
    <w:bookmarkStart w:id="31" w:name="controls-kpis-and-escalation"/>
    <w:p>
      <w:pPr>
        <w:pStyle w:val="Heading2"/>
      </w:pPr>
      <w:r>
        <w:t xml:space="preserve">Controls, KPIs and escalation</w:t>
      </w:r>
    </w:p>
    <w:p>
      <w:pPr>
        <w:pStyle w:val="FirstParagraph"/>
      </w:pPr>
      <w:r>
        <w:t xml:space="preserve">The test of this policy is that no amount owed to an agent or payer reaches a state report cutoff without having been resolved or reported, and that nothing is retained by the company without documented support. Age alone is not a failure; a deposit may sit unapplied for a long time without breaching this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Target</w:t>
            </w:r>
          </w:p>
        </w:tc>
        <w:tc>
          <w:tcPr/>
          <w:p>
            <w:pPr>
              <w:pStyle w:val="Compact"/>
              <w:jc w:val="left"/>
            </w:pPr>
            <w:r>
              <w:t xml:space="preserve">Reviewed</w:t>
            </w:r>
          </w:p>
        </w:tc>
      </w:tr>
      <w:tr>
        <w:tc>
          <w:tcPr/>
          <w:p>
            <w:pPr>
              <w:pStyle w:val="Compact"/>
              <w:jc w:val="left"/>
            </w:pPr>
            <w:r>
              <w:t xml:space="preserve">Items past their dormancy threshold with no resolution recorded</w:t>
            </w:r>
          </w:p>
        </w:tc>
        <w:tc>
          <w:tcPr/>
          <w:p>
            <w:pPr>
              <w:pStyle w:val="Compact"/>
              <w:jc w:val="left"/>
            </w:pPr>
            <w:r>
              <w:t xml:space="preserve">Zero at each review date</w:t>
            </w:r>
          </w:p>
        </w:tc>
        <w:tc>
          <w:tcPr/>
          <w:p>
            <w:pPr>
              <w:pStyle w:val="Compact"/>
              <w:jc w:val="left"/>
            </w:pPr>
            <w:r>
              <w:t xml:space="preserve">Annually</w:t>
            </w:r>
          </w:p>
        </w:tc>
      </w:tr>
      <w:tr>
        <w:tc>
          <w:tcPr/>
          <w:p>
            <w:pPr>
              <w:pStyle w:val="Compact"/>
              <w:jc w:val="left"/>
            </w:pPr>
            <w:r>
              <w:t xml:space="preserve">Dollars that will be dormant at the next state cutoff with no due-diligence letter sent</w:t>
            </w:r>
          </w:p>
        </w:tc>
        <w:tc>
          <w:tcPr/>
          <w:p>
            <w:pPr>
              <w:pStyle w:val="Compact"/>
              <w:jc w:val="left"/>
            </w:pPr>
            <w:r>
              <w:t xml:space="preserve">Zero before each state’s letter window closes</w:t>
            </w:r>
          </w:p>
        </w:tc>
        <w:tc>
          <w:tcPr/>
          <w:p>
            <w:pPr>
              <w:pStyle w:val="Compact"/>
              <w:jc w:val="left"/>
            </w:pPr>
            <w:r>
              <w:t xml:space="preserve">Annually</w:t>
            </w:r>
          </w:p>
        </w:tc>
      </w:tr>
      <w:tr>
        <w:tc>
          <w:tcPr/>
          <w:p>
            <w:pPr>
              <w:pStyle w:val="Compact"/>
              <w:jc w:val="left"/>
            </w:pPr>
            <w:r>
              <w:t xml:space="preserve">Items retained under offset or forfeiture without a counsel memo</w:t>
            </w:r>
          </w:p>
        </w:tc>
        <w:tc>
          <w:tcPr/>
          <w:p>
            <w:pPr>
              <w:pStyle w:val="Compact"/>
              <w:jc w:val="left"/>
            </w:pPr>
            <w:r>
              <w:t xml:space="preserve">Zero</w:t>
            </w:r>
          </w:p>
        </w:tc>
        <w:tc>
          <w:tcPr/>
          <w:p>
            <w:pPr>
              <w:pStyle w:val="Compact"/>
              <w:jc w:val="left"/>
            </w:pPr>
            <w:r>
              <w:t xml:space="preserve">Annually</w:t>
            </w:r>
          </w:p>
        </w:tc>
      </w:tr>
      <w:tr>
        <w:tc>
          <w:tcPr/>
          <w:p>
            <w:pPr>
              <w:pStyle w:val="Compact"/>
              <w:jc w:val="left"/>
            </w:pPr>
            <w:r>
              <w:t xml:space="preserve">Items with no agent identified that are past threshold</w:t>
            </w:r>
          </w:p>
        </w:tc>
        <w:tc>
          <w:tcPr/>
          <w:p>
            <w:pPr>
              <w:pStyle w:val="Compact"/>
              <w:jc w:val="left"/>
            </w:pPr>
            <w:r>
              <w:t xml:space="preserve">Each has a documented search and a governing state assigned</w:t>
            </w:r>
          </w:p>
        </w:tc>
        <w:tc>
          <w:tcPr/>
          <w:p>
            <w:pPr>
              <w:pStyle w:val="Compact"/>
              <w:jc w:val="left"/>
            </w:pPr>
            <w:r>
              <w:t xml:space="preserve">Annually</w:t>
            </w:r>
          </w:p>
        </w:tc>
      </w:tr>
      <w:tr>
        <w:tc>
          <w:tcPr/>
          <w:p>
            <w:pPr>
              <w:pStyle w:val="Compact"/>
              <w:jc w:val="left"/>
            </w:pPr>
            <w:r>
              <w:t xml:space="preserve">Filings made by each state deadline</w:t>
            </w:r>
          </w:p>
        </w:tc>
        <w:tc>
          <w:tcPr/>
          <w:p>
            <w:pPr>
              <w:pStyle w:val="Compact"/>
              <w:jc w:val="left"/>
            </w:pPr>
            <w:r>
              <w:t xml:space="preserve">100%</w:t>
            </w:r>
          </w:p>
        </w:tc>
        <w:tc>
          <w:tcPr/>
          <w:p>
            <w:pPr>
              <w:pStyle w:val="Compact"/>
              <w:jc w:val="left"/>
            </w:pPr>
            <w:r>
              <w:t xml:space="preserve">Annually</w:t>
            </w:r>
          </w:p>
        </w:tc>
      </w:tr>
      <w:tr>
        <w:tc>
          <w:tcPr/>
          <w:p>
            <w:pPr>
              <w:pStyle w:val="Compact"/>
              <w:jc w:val="left"/>
            </w:pPr>
            <w:r>
              <w:t xml:space="preserve">Annual findings memo issued</w:t>
            </w:r>
          </w:p>
        </w:tc>
        <w:tc>
          <w:tcPr/>
          <w:p>
            <w:pPr>
              <w:pStyle w:val="Compact"/>
              <w:jc w:val="left"/>
            </w:pPr>
            <w:r>
              <w:t xml:space="preserve">Within 30 days of the review date</w:t>
            </w:r>
          </w:p>
        </w:tc>
        <w:tc>
          <w:tcPr/>
          <w:p>
            <w:pPr>
              <w:pStyle w:val="Compact"/>
              <w:jc w:val="left"/>
            </w:pPr>
            <w:r>
              <w:t xml:space="preserve">Annually</w:t>
            </w:r>
          </w:p>
        </w:tc>
      </w:tr>
    </w:tbl>
    <w:p>
      <w:pPr>
        <w:pStyle w:val="BodyText"/>
      </w:pPr>
      <w:r>
        <w:t xml:space="preserve">Escalation: any threshold item over $5,000 that cannot be resolved by the findings memo date goes to the CFO with the reason. Any contact from a state administrator or audit firm about unclaimed property goes to the Director of Financial Reporting and Analysis and counsel the same day, because a voluntary disclosure is no longer available once contact has been made.</w:t>
      </w:r>
    </w:p>
    <w:bookmarkEnd w:id="31"/>
    <w:bookmarkStart w:id="60" w:name="appendix"/>
    <w:p>
      <w:pPr>
        <w:pStyle w:val="Heading2"/>
      </w:pPr>
      <w:r>
        <w:t xml:space="preserve">Appendix</w:t>
      </w:r>
    </w:p>
    <w:p>
      <w:pPr>
        <w:pStyle w:val="FirstParagraph"/>
      </w:pPr>
      <w:r>
        <w:rPr>
          <w:bCs/>
          <w:b/>
        </w:rPr>
        <w:t xml:space="preserve">State dormancy periods applied.</w:t>
      </w:r>
      <w:r>
        <w:t xml:space="preserve"> </w:t>
      </w:r>
      <w:r>
        <w:t xml:space="preserve">Verified from the statute text and each state’s treasury holder pages on 10/6/2026. Short period = wages or other compensation for personal services; long period = general catch-all. The test column reflects agents being independent contractors.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Short period</w:t>
            </w:r>
          </w:p>
        </w:tc>
        <w:tc>
          <w:tcPr/>
          <w:p>
            <w:pPr>
              <w:pStyle w:val="Compact"/>
              <w:jc w:val="left"/>
            </w:pPr>
            <w:r>
              <w:t xml:space="preserve">Long period</w:t>
            </w:r>
          </w:p>
        </w:tc>
        <w:tc>
          <w:tcPr/>
          <w:p>
            <w:pPr>
              <w:pStyle w:val="Compact"/>
              <w:jc w:val="left"/>
            </w:pPr>
            <w:r>
              <w:t xml:space="preserve">Test for contractor commissions</w:t>
            </w:r>
          </w:p>
        </w:tc>
        <w:tc>
          <w:tcPr/>
          <w:p>
            <w:pPr>
              <w:pStyle w:val="Compact"/>
              <w:jc w:val="left"/>
            </w:pPr>
            <w:r>
              <w:t xml:space="preserve">Basis</w:t>
            </w:r>
          </w:p>
        </w:tc>
      </w:tr>
      <w:tr>
        <w:tc>
          <w:tcPr/>
          <w:p>
            <w:pPr>
              <w:pStyle w:val="Compact"/>
              <w:jc w:val="left"/>
            </w:pPr>
            <w:r>
              <w:t xml:space="preserve">Texas</w:t>
            </w:r>
          </w:p>
        </w:tc>
        <w:tc>
          <w:tcPr/>
          <w:p>
            <w:pPr>
              <w:pStyle w:val="Compact"/>
              <w:jc w:val="left"/>
            </w:pPr>
            <w:r>
              <w:t xml:space="preserve">1 year, unclaimed wages (Prop. Code 72.1015)</w:t>
            </w:r>
          </w:p>
        </w:tc>
        <w:tc>
          <w:tcPr/>
          <w:p>
            <w:pPr>
              <w:pStyle w:val="Compact"/>
              <w:jc w:val="left"/>
            </w:pPr>
            <w:r>
              <w:t xml:space="preserve">3 years, general (72.101(a))</w:t>
            </w:r>
          </w:p>
        </w:tc>
        <w:tc>
          <w:tcPr/>
          <w:p>
            <w:pPr>
              <w:pStyle w:val="Compact"/>
              <w:jc w:val="left"/>
            </w:pPr>
            <w:r>
              <w:t xml:space="preserve">Long</w:t>
            </w:r>
          </w:p>
        </w:tc>
        <w:tc>
          <w:tcPr/>
          <w:p>
            <w:pPr>
              <w:pStyle w:val="Compact"/>
              <w:jc w:val="left"/>
            </w:pPr>
            <w:r>
              <w:t xml:space="preserve">Wages take the Labor Code 61.001 meaning: compensation owed by an employer to an employee; 61.001(3)(B) excludes independent contractors. Comptroller Pub. 96-478 (rev. March 2026) lists MS02 Commissions at 3 years and MS01 wages at 1 year</w:t>
            </w:r>
          </w:p>
        </w:tc>
      </w:tr>
      <w:tr>
        <w:tc>
          <w:tcPr/>
          <w:p>
            <w:pPr>
              <w:pStyle w:val="Compact"/>
              <w:jc w:val="left"/>
            </w:pPr>
            <w:r>
              <w:t xml:space="preserve">Illinois</w:t>
            </w:r>
          </w:p>
        </w:tc>
        <w:tc>
          <w:tcPr/>
          <w:p>
            <w:pPr>
              <w:pStyle w:val="Compact"/>
              <w:jc w:val="left"/>
            </w:pPr>
            <w:r>
              <w:t xml:space="preserve">1 year, wages, commissions or other compensation for personal services (765 ILCS 1026/15-201(13))</w:t>
            </w:r>
          </w:p>
        </w:tc>
        <w:tc>
          <w:tcPr/>
          <w:p>
            <w:pPr>
              <w:pStyle w:val="Compact"/>
              <w:jc w:val="left"/>
            </w:pPr>
            <w:r>
              <w:t xml:space="preserve">3 years, catch-all (15-201(15))</w:t>
            </w:r>
          </w:p>
        </w:tc>
        <w:tc>
          <w:tcPr/>
          <w:p>
            <w:pPr>
              <w:pStyle w:val="Compact"/>
              <w:jc w:val="left"/>
            </w:pPr>
            <w:r>
              <w:t xml:space="preserve">Short</w:t>
            </w:r>
          </w:p>
        </w:tc>
        <w:tc>
          <w:tcPr/>
          <w:p>
            <w:pPr>
              <w:pStyle w:val="Compact"/>
              <w:jc w:val="left"/>
            </w:pPr>
            <w:r>
              <w:t xml:space="preserve">Statute reaches other compensation for personal services, not only employee wages</w:t>
            </w:r>
          </w:p>
        </w:tc>
      </w:tr>
      <w:tr>
        <w:tc>
          <w:tcPr/>
          <w:p>
            <w:pPr>
              <w:pStyle w:val="Compact"/>
              <w:jc w:val="left"/>
            </w:pPr>
            <w:r>
              <w:t xml:space="preserve">Pennsylvania</w:t>
            </w:r>
          </w:p>
        </w:tc>
        <w:tc>
          <w:tcPr/>
          <w:p>
            <w:pPr>
              <w:pStyle w:val="Compact"/>
              <w:jc w:val="left"/>
            </w:pPr>
            <w:r>
              <w:t xml:space="preserve">2 years, wages or other compensation for personal services (72 P.S. 1301.10(2))</w:t>
            </w:r>
          </w:p>
        </w:tc>
        <w:tc>
          <w:tcPr/>
          <w:p>
            <w:pPr>
              <w:pStyle w:val="Compact"/>
              <w:jc w:val="left"/>
            </w:pPr>
            <w:r>
              <w:t xml:space="preserve">3 years, other property (1301.10(1))</w:t>
            </w:r>
          </w:p>
        </w:tc>
        <w:tc>
          <w:tcPr/>
          <w:p>
            <w:pPr>
              <w:pStyle w:val="Compact"/>
              <w:jc w:val="left"/>
            </w:pPr>
            <w:r>
              <w:t xml:space="preserve">Short</w:t>
            </w:r>
          </w:p>
        </w:tc>
        <w:tc>
          <w:tcPr/>
          <w:p>
            <w:pPr>
              <w:pStyle w:val="Compact"/>
              <w:jc w:val="left"/>
            </w:pPr>
            <w:r>
              <w:t xml:space="preserve">Statute reaches other compensation for personal services; Treasury’s handbook, matrix and VDA form describe the exception as payroll and commissions</w:t>
            </w:r>
          </w:p>
        </w:tc>
      </w:tr>
      <w:tr>
        <w:tc>
          <w:tcPr/>
          <w:p>
            <w:pPr>
              <w:pStyle w:val="Compact"/>
              <w:jc w:val="left"/>
            </w:pPr>
            <w:r>
              <w:t xml:space="preserve">Florida</w:t>
            </w:r>
          </w:p>
        </w:tc>
        <w:tc>
          <w:tcPr/>
          <w:p>
            <w:pPr>
              <w:pStyle w:val="Compact"/>
              <w:jc w:val="left"/>
            </w:pPr>
            <w:r>
              <w:t xml:space="preserve">1 year, unpaid wages (717.115)</w:t>
            </w:r>
          </w:p>
        </w:tc>
        <w:tc>
          <w:tcPr/>
          <w:p>
            <w:pPr>
              <w:pStyle w:val="Compact"/>
              <w:jc w:val="left"/>
            </w:pPr>
            <w:r>
              <w:t xml:space="preserve">3 years where the owner’s address is unknown and the holder is a Florida entity (717.1035); 5 years where the owner has a Florida address (717.102(1))</w:t>
            </w:r>
          </w:p>
        </w:tc>
        <w:tc>
          <w:tcPr/>
          <w:p>
            <w:pPr>
              <w:pStyle w:val="Compact"/>
              <w:jc w:val="left"/>
            </w:pPr>
            <w:r>
              <w:t xml:space="preserve">Long</w:t>
            </w:r>
          </w:p>
        </w:tc>
        <w:tc>
          <w:tcPr/>
          <w:p>
            <w:pPr>
              <w:pStyle w:val="Compact"/>
              <w:jc w:val="left"/>
            </w:pPr>
            <w:r>
              <w:t xml:space="preserve">Wage rule not shown to reach contractors; RaySon Partners is a Florida LLC, so 717.1035 governs its unknown-agent items</w:t>
            </w:r>
          </w:p>
        </w:tc>
      </w:tr>
      <w:tr>
        <w:tc>
          <w:tcPr/>
          <w:p>
            <w:pPr>
              <w:pStyle w:val="Compact"/>
              <w:jc w:val="left"/>
            </w:pPr>
            <w:r>
              <w:t xml:space="preserve">Alabama</w:t>
            </w:r>
          </w:p>
        </w:tc>
        <w:tc>
          <w:tcPr/>
          <w:p>
            <w:pPr>
              <w:pStyle w:val="Compact"/>
              <w:jc w:val="left"/>
            </w:pPr>
            <w:r>
              <w:t xml:space="preserve">1 year, wages or other compensation for personal services (35-12-72(a)(14))</w:t>
            </w:r>
          </w:p>
        </w:tc>
        <w:tc>
          <w:tcPr/>
          <w:p>
            <w:pPr>
              <w:pStyle w:val="Compact"/>
              <w:jc w:val="left"/>
            </w:pPr>
            <w:r>
              <w:t xml:space="preserve">3 years, all other property (35-12-72(a)(18))</w:t>
            </w:r>
          </w:p>
        </w:tc>
        <w:tc>
          <w:tcPr/>
          <w:p>
            <w:pPr>
              <w:pStyle w:val="Compact"/>
              <w:jc w:val="left"/>
            </w:pPr>
            <w:r>
              <w:t xml:space="preserve">Short</w:t>
            </w:r>
          </w:p>
        </w:tc>
        <w:tc>
          <w:tcPr/>
          <w:p>
            <w:pPr>
              <w:pStyle w:val="Compact"/>
              <w:jc w:val="left"/>
            </w:pPr>
            <w:r>
              <w:t xml:space="preserve">Statute reaches other compensation for personal services</w:t>
            </w:r>
          </w:p>
        </w:tc>
      </w:tr>
      <w:tr>
        <w:tc>
          <w:tcPr/>
          <w:p>
            <w:pPr>
              <w:pStyle w:val="Compact"/>
              <w:jc w:val="left"/>
            </w:pPr>
            <w:r>
              <w:t xml:space="preserve">Missouri</w:t>
            </w:r>
          </w:p>
        </w:tc>
        <w:tc>
          <w:tcPr/>
          <w:p>
            <w:pPr>
              <w:pStyle w:val="Compact"/>
              <w:jc w:val="left"/>
            </w:pPr>
            <w:r>
              <w:t xml:space="preserve">3 years (payroll)</w:t>
            </w:r>
          </w:p>
        </w:tc>
        <w:tc>
          <w:tcPr/>
          <w:p>
            <w:pPr>
              <w:pStyle w:val="Compact"/>
              <w:jc w:val="left"/>
            </w:pPr>
            <w:r>
              <w:t xml:space="preserve">5 years</w:t>
            </w:r>
          </w:p>
        </w:tc>
        <w:tc>
          <w:tcPr/>
          <w:p>
            <w:pPr>
              <w:pStyle w:val="Compact"/>
              <w:jc w:val="left"/>
            </w:pPr>
            <w:r>
              <w:t xml:space="preserve">Long</w:t>
            </w:r>
          </w:p>
        </w:tc>
        <w:tc>
          <w:tcPr/>
          <w:p>
            <w:pPr>
              <w:pStyle w:val="Compact"/>
              <w:jc w:val="left"/>
            </w:pPr>
            <w:r>
              <w:t xml:space="preserve">Not verified; relevant only if an entity were formed in Missouri, and none is</w:t>
            </w:r>
          </w:p>
        </w:tc>
      </w:tr>
    </w:tbl>
    <w:p>
      <w:pPr>
        <w:pStyle w:val="BodyText"/>
      </w:pPr>
      <w:r>
        <w:rPr>
          <w:bCs/>
          <w:b/>
        </w:rPr>
        <w:t xml:space="preserve">Reporting calendar, due diligence, voluntary disclosure and anti-limitation provisions, as verified.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State</w:t>
            </w:r>
          </w:p>
        </w:tc>
        <w:tc>
          <w:tcPr/>
          <w:p>
            <w:pPr>
              <w:pStyle w:val="Compact"/>
              <w:jc w:val="left"/>
            </w:pPr>
            <w:r>
              <w:t xml:space="preserve">Report due and cutoff</w:t>
            </w:r>
          </w:p>
        </w:tc>
        <w:tc>
          <w:tcPr/>
          <w:p>
            <w:pPr>
              <w:pStyle w:val="Compact"/>
              <w:jc w:val="left"/>
            </w:pPr>
            <w:r>
              <w:t xml:space="preserve">Due diligence to the owner</w:t>
            </w:r>
          </w:p>
        </w:tc>
        <w:tc>
          <w:tcPr/>
          <w:p>
            <w:pPr>
              <w:pStyle w:val="Compact"/>
              <w:jc w:val="left"/>
            </w:pPr>
            <w:r>
              <w:t xml:space="preserve">Voluntary disclosure</w:t>
            </w:r>
          </w:p>
        </w:tc>
        <w:tc>
          <w:tcPr/>
          <w:p>
            <w:pPr>
              <w:pStyle w:val="Compact"/>
              <w:jc w:val="left"/>
            </w:pPr>
            <w:r>
              <w:t xml:space="preserve">Anti-limitation provision</w:t>
            </w:r>
          </w:p>
        </w:tc>
        <w:tc>
          <w:tcPr/>
          <w:p>
            <w:pPr>
              <w:pStyle w:val="Compact"/>
              <w:jc w:val="left"/>
            </w:pPr>
            <w:r>
              <w:t xml:space="preserve">Pages read 10/6/2026</w:t>
            </w:r>
          </w:p>
        </w:tc>
      </w:tr>
      <w:tr>
        <w:tc>
          <w:tcPr/>
          <w:p>
            <w:pPr>
              <w:pStyle w:val="Compact"/>
              <w:jc w:val="left"/>
            </w:pPr>
            <w:r>
              <w:t xml:space="preserve">Texas</w:t>
            </w:r>
          </w:p>
        </w:tc>
        <w:tc>
          <w:tcPr/>
          <w:p>
            <w:pPr>
              <w:pStyle w:val="Compact"/>
              <w:jc w:val="left"/>
            </w:pPr>
            <w:r>
              <w:t xml:space="preserve">July 1 for property held on March 1 (74.101, 74.301)</w:t>
            </w:r>
          </w:p>
        </w:tc>
        <w:tc>
          <w:tcPr/>
          <w:p>
            <w:pPr>
              <w:pStyle w:val="Compact"/>
              <w:jc w:val="left"/>
            </w:pPr>
            <w:r>
              <w:t xml:space="preserve">More than $250; mail or e-mail at least 60 days before delivery (74.1011)</w:t>
            </w:r>
          </w:p>
        </w:tc>
        <w:tc>
          <w:tcPr/>
          <w:p>
            <w:pPr>
              <w:pStyle w:val="Compact"/>
              <w:jc w:val="left"/>
            </w:pPr>
            <w:r>
              <w:t xml:space="preserve">Comptroller may waive penalty and interest for good-faith holders (74.707); request to UP.VDA.requests@cpa.texas.gov; 10-year look-back (Pub. 96-576). Otherwise 10% interest (74.705) and 5% plus 5% penalty (74.706)</w:t>
            </w:r>
          </w:p>
        </w:tc>
        <w:tc>
          <w:tcPr/>
          <w:p>
            <w:pPr>
              <w:pStyle w:val="Compact"/>
              <w:jc w:val="left"/>
            </w:pPr>
            <w:r>
              <w:t xml:space="preserve">74.308: expiration of a period set by contract, statute or court order does not prevent abandonment or the duty to report. 74.309 prohibits private escheat by agreement</w:t>
            </w:r>
          </w:p>
        </w:tc>
        <w:tc>
          <w:tcPr/>
          <w:p>
            <w:pPr>
              <w:pStyle w:val="Compact"/>
              <w:jc w:val="left"/>
            </w:pPr>
            <w:hyperlink r:id="rId32">
              <w:r>
                <w:rPr>
                  <w:rStyle w:val="Hyperlink"/>
                </w:rPr>
                <w:t xml:space="preserve">Prop. Code ch. 72</w:t>
              </w:r>
            </w:hyperlink>
            <w:r>
              <w:t xml:space="preserve">,</w:t>
            </w:r>
            <w:r>
              <w:t xml:space="preserve"> </w:t>
            </w:r>
            <w:hyperlink r:id="rId33">
              <w:r>
                <w:rPr>
                  <w:rStyle w:val="Hyperlink"/>
                </w:rPr>
                <w:t xml:space="preserve">ch. 74</w:t>
              </w:r>
            </w:hyperlink>
            <w:r>
              <w:t xml:space="preserve">,</w:t>
            </w:r>
            <w:r>
              <w:t xml:space="preserve"> </w:t>
            </w:r>
            <w:hyperlink r:id="rId34">
              <w:r>
                <w:rPr>
                  <w:rStyle w:val="Hyperlink"/>
                </w:rPr>
                <w:t xml:space="preserve">Labor Code 61.001</w:t>
              </w:r>
            </w:hyperlink>
            <w:r>
              <w:t xml:space="preserve">,</w:t>
            </w:r>
            <w:r>
              <w:t xml:space="preserve"> </w:t>
            </w:r>
            <w:hyperlink r:id="rId35">
              <w:r>
                <w:rPr>
                  <w:rStyle w:val="Hyperlink"/>
                </w:rPr>
                <w:t xml:space="preserve">Pub. 96-478</w:t>
              </w:r>
            </w:hyperlink>
            <w:r>
              <w:t xml:space="preserve">,</w:t>
            </w:r>
            <w:r>
              <w:t xml:space="preserve"> </w:t>
            </w:r>
            <w:hyperlink r:id="rId36">
              <w:r>
                <w:rPr>
                  <w:rStyle w:val="Hyperlink"/>
                </w:rPr>
                <w:t xml:space="preserve">deadlines</w:t>
              </w:r>
            </w:hyperlink>
            <w:r>
              <w:t xml:space="preserve">,</w:t>
            </w:r>
            <w:r>
              <w:t xml:space="preserve"> </w:t>
            </w:r>
            <w:hyperlink r:id="rId37">
              <w:r>
                <w:rPr>
                  <w:rStyle w:val="Hyperlink"/>
                </w:rPr>
                <w:t xml:space="preserve">VDA</w:t>
              </w:r>
            </w:hyperlink>
            <w:r>
              <w:t xml:space="preserve">,</w:t>
            </w:r>
            <w:r>
              <w:t xml:space="preserve"> </w:t>
            </w:r>
            <w:hyperlink r:id="rId38">
              <w:r>
                <w:rPr>
                  <w:rStyle w:val="Hyperlink"/>
                </w:rPr>
                <w:t xml:space="preserve">Pub. 96-576</w:t>
              </w:r>
            </w:hyperlink>
          </w:p>
        </w:tc>
      </w:tr>
      <w:tr>
        <w:tc>
          <w:tcPr/>
          <w:p>
            <w:pPr>
              <w:pStyle w:val="Compact"/>
              <w:jc w:val="left"/>
            </w:pPr>
            <w:r>
              <w:t xml:space="preserve">Illinois</w:t>
            </w:r>
          </w:p>
        </w:tc>
        <w:tc>
          <w:tcPr/>
          <w:p>
            <w:pPr>
              <w:pStyle w:val="Compact"/>
              <w:jc w:val="left"/>
            </w:pPr>
            <w:r>
              <w:t xml:space="preserve">Before May 1 for the preceding calendar year, business associations (15-403(b)); November 1 / June 30 only for financial organizations, insurers and governments</w:t>
            </w:r>
          </w:p>
        </w:tc>
        <w:tc>
          <w:tcPr/>
          <w:p>
            <w:pPr>
              <w:pStyle w:val="Compact"/>
              <w:jc w:val="left"/>
            </w:pPr>
            <w:r>
              <w:t xml:space="preserve">$50 or more; first-class mail 60 days to one year before filing (15-501)</w:t>
            </w:r>
          </w:p>
        </w:tc>
        <w:tc>
          <w:tcPr/>
          <w:p>
            <w:pPr>
              <w:pStyle w:val="Compact"/>
              <w:jc w:val="left"/>
            </w:pPr>
            <w:r>
              <w:t xml:space="preserve">Treasurer program since 2008: penalties and interest forgone; self-audit and remit within six months; not under examination</w:t>
            </w:r>
          </w:p>
        </w:tc>
        <w:tc>
          <w:tcPr/>
          <w:p>
            <w:pPr>
              <w:pStyle w:val="Compact"/>
              <w:jc w:val="left"/>
            </w:pPr>
            <w:r>
              <w:t xml:space="preserve">15-610(a): expiration of a period set by contract, statute or court order does not prevent abandonment or the duty to report</w:t>
            </w:r>
          </w:p>
        </w:tc>
        <w:tc>
          <w:tcPr/>
          <w:p>
            <w:pPr>
              <w:pStyle w:val="Compact"/>
              <w:jc w:val="left"/>
            </w:pPr>
            <w:hyperlink r:id="rId39">
              <w:r>
                <w:rPr>
                  <w:rStyle w:val="Hyperlink"/>
                </w:rPr>
                <w:t xml:space="preserve">15-201</w:t>
              </w:r>
            </w:hyperlink>
            <w:r>
              <w:t xml:space="preserve">,</w:t>
            </w:r>
            <w:r>
              <w:t xml:space="preserve"> </w:t>
            </w:r>
            <w:hyperlink r:id="rId40">
              <w:r>
                <w:rPr>
                  <w:rStyle w:val="Hyperlink"/>
                </w:rPr>
                <w:t xml:space="preserve">15-403</w:t>
              </w:r>
            </w:hyperlink>
            <w:r>
              <w:t xml:space="preserve">,</w:t>
            </w:r>
            <w:r>
              <w:t xml:space="preserve"> </w:t>
            </w:r>
            <w:hyperlink r:id="rId41">
              <w:r>
                <w:rPr>
                  <w:rStyle w:val="Hyperlink"/>
                </w:rPr>
                <w:t xml:space="preserve">15-501</w:t>
              </w:r>
            </w:hyperlink>
            <w:r>
              <w:t xml:space="preserve">,</w:t>
            </w:r>
            <w:r>
              <w:t xml:space="preserve"> </w:t>
            </w:r>
            <w:hyperlink r:id="rId42">
              <w:r>
                <w:rPr>
                  <w:rStyle w:val="Hyperlink"/>
                </w:rPr>
                <w:t xml:space="preserve">15-610</w:t>
              </w:r>
            </w:hyperlink>
            <w:r>
              <w:t xml:space="preserve">,</w:t>
            </w:r>
            <w:r>
              <w:t xml:space="preserve"> </w:t>
            </w:r>
            <w:hyperlink r:id="rId43">
              <w:r>
                <w:rPr>
                  <w:rStyle w:val="Hyperlink"/>
                </w:rPr>
                <w:t xml:space="preserve">Treasurer guidelines</w:t>
              </w:r>
            </w:hyperlink>
            <w:r>
              <w:t xml:space="preserve">,</w:t>
            </w:r>
            <w:r>
              <w:t xml:space="preserve"> </w:t>
            </w:r>
            <w:hyperlink r:id="rId44">
              <w:r>
                <w:rPr>
                  <w:rStyle w:val="Hyperlink"/>
                </w:rPr>
                <w:t xml:space="preserve">deadlines</w:t>
              </w:r>
            </w:hyperlink>
            <w:r>
              <w:t xml:space="preserve">,</w:t>
            </w:r>
            <w:r>
              <w:t xml:space="preserve"> </w:t>
            </w:r>
            <w:hyperlink r:id="rId45">
              <w:r>
                <w:rPr>
                  <w:rStyle w:val="Hyperlink"/>
                </w:rPr>
                <w:t xml:space="preserve">VDA</w:t>
              </w:r>
            </w:hyperlink>
          </w:p>
        </w:tc>
      </w:tr>
      <w:tr>
        <w:tc>
          <w:tcPr/>
          <w:p>
            <w:pPr>
              <w:pStyle w:val="Compact"/>
              <w:jc w:val="left"/>
            </w:pPr>
            <w:r>
              <w:t xml:space="preserve">Pennsylvania</w:t>
            </w:r>
          </w:p>
        </w:tc>
        <w:tc>
          <w:tcPr/>
          <w:p>
            <w:pPr>
              <w:pStyle w:val="Compact"/>
              <w:jc w:val="left"/>
            </w:pPr>
            <w:r>
              <w:t xml:space="preserve">April 15 following the calendar year in which the period ran (1301.11(d), 1301.13(a)); December 31 cutoff</w:t>
            </w:r>
          </w:p>
        </w:tc>
        <w:tc>
          <w:tcPr/>
          <w:p>
            <w:pPr>
              <w:pStyle w:val="Compact"/>
              <w:jc w:val="left"/>
            </w:pPr>
            <w:r>
              <w:t xml:space="preserve">$50 or more; first-class mail 60 to 120 days before April 15, with an affirmation of compliance on the report (1301.10a)</w:t>
            </w:r>
          </w:p>
        </w:tc>
        <w:tc>
          <w:tcPr/>
          <w:p>
            <w:pPr>
              <w:pStyle w:val="Compact"/>
              <w:jc w:val="left"/>
            </w:pPr>
            <w:r>
              <w:t xml:space="preserve">Treasury VDA: penalties and interest waived; 10-year look-back; report within 90 days of execution; not for holders given voluntary compliance in the past 10 years. Otherwise 12% interest and up to $1,000 per day (1301.24)</w:t>
            </w:r>
          </w:p>
        </w:tc>
        <w:tc>
          <w:tcPr/>
          <w:p>
            <w:pPr>
              <w:pStyle w:val="Compact"/>
              <w:jc w:val="left"/>
            </w:pPr>
            <w:r>
              <w:t xml:space="preserve">1301.16: expiration of a period set by statute or court order does not prevent custody or the duty to report; contract periods are not mentioned and the Act has no private-escheat section</w:t>
            </w:r>
          </w:p>
        </w:tc>
        <w:tc>
          <w:tcPr/>
          <w:p>
            <w:pPr>
              <w:pStyle w:val="Compact"/>
              <w:jc w:val="left"/>
            </w:pPr>
            <w:hyperlink r:id="rId46">
              <w:r>
                <w:rPr>
                  <w:rStyle w:val="Hyperlink"/>
                </w:rPr>
                <w:t xml:space="preserve">72 P.S. 1301.1 et seq. (Treasury reprint)</w:t>
              </w:r>
            </w:hyperlink>
            <w:r>
              <w:t xml:space="preserve">,</w:t>
            </w:r>
            <w:r>
              <w:t xml:space="preserve"> </w:t>
            </w:r>
            <w:hyperlink r:id="rId47">
              <w:r>
                <w:rPr>
                  <w:rStyle w:val="Hyperlink"/>
                </w:rPr>
                <w:t xml:space="preserve">dormancy matrix</w:t>
              </w:r>
            </w:hyperlink>
            <w:r>
              <w:t xml:space="preserve">,</w:t>
            </w:r>
            <w:r>
              <w:t xml:space="preserve"> </w:t>
            </w:r>
            <w:hyperlink r:id="rId48">
              <w:r>
                <w:rPr>
                  <w:rStyle w:val="Hyperlink"/>
                </w:rPr>
                <w:t xml:space="preserve">holder handbook</w:t>
              </w:r>
            </w:hyperlink>
            <w:r>
              <w:t xml:space="preserve">,</w:t>
            </w:r>
            <w:r>
              <w:t xml:space="preserve"> </w:t>
            </w:r>
            <w:hyperlink r:id="rId49">
              <w:r>
                <w:rPr>
                  <w:rStyle w:val="Hyperlink"/>
                </w:rPr>
                <w:t xml:space="preserve">reporting guidelines</w:t>
              </w:r>
            </w:hyperlink>
            <w:r>
              <w:t xml:space="preserve">,</w:t>
            </w:r>
            <w:r>
              <w:t xml:space="preserve"> </w:t>
            </w:r>
            <w:hyperlink r:id="rId50">
              <w:r>
                <w:rPr>
                  <w:rStyle w:val="Hyperlink"/>
                </w:rPr>
                <w:t xml:space="preserve">VDA</w:t>
              </w:r>
            </w:hyperlink>
          </w:p>
        </w:tc>
      </w:tr>
      <w:tr>
        <w:tc>
          <w:tcPr/>
          <w:p>
            <w:pPr>
              <w:pStyle w:val="Compact"/>
              <w:jc w:val="left"/>
            </w:pPr>
            <w:r>
              <w:t xml:space="preserve">Florida</w:t>
            </w:r>
          </w:p>
        </w:tc>
        <w:tc>
          <w:tcPr/>
          <w:p>
            <w:pPr>
              <w:pStyle w:val="Compact"/>
              <w:jc w:val="left"/>
            </w:pPr>
            <w:r>
              <w:t xml:space="preserve">Before May 1 for the preceding calendar year (717.117(5), 717.119)</w:t>
            </w:r>
          </w:p>
        </w:tc>
        <w:tc>
          <w:tcPr/>
          <w:p>
            <w:pPr>
              <w:pStyle w:val="Compact"/>
              <w:jc w:val="left"/>
            </w:pPr>
            <w:r>
              <w:t xml:space="preserve">$50 or more; first-class mail or elected e-mail 60 to 120 days before filing, statutory heading, 30 days to respond (717.117(6)-(7))</w:t>
            </w:r>
          </w:p>
        </w:tc>
        <w:tc>
          <w:tcPr/>
          <w:p>
            <w:pPr>
              <w:pStyle w:val="Compact"/>
              <w:jc w:val="left"/>
            </w:pPr>
            <w:r>
              <w:t xml:space="preserve">DFS program (Rule 69G-20.050): no penalty or interest; only for holders that have never filed and are not under examination; 10 report years. Otherwise up to $500 per day plus 25% of unreported value for willful failure (717.134)</w:t>
            </w:r>
          </w:p>
        </w:tc>
        <w:tc>
          <w:tcPr/>
          <w:p>
            <w:pPr>
              <w:pStyle w:val="Compact"/>
              <w:jc w:val="left"/>
            </w:pPr>
            <w:r>
              <w:t xml:space="preserve">717.129(1): expiration of a period set by contract, statute or court order does not prevent property from being presumed unclaimed or affect the duty to report</w:t>
            </w:r>
          </w:p>
        </w:tc>
        <w:tc>
          <w:tcPr/>
          <w:p>
            <w:pPr>
              <w:pStyle w:val="Compact"/>
              <w:jc w:val="left"/>
            </w:pPr>
            <w:hyperlink r:id="rId51">
              <w:r>
                <w:rPr>
                  <w:rStyle w:val="Hyperlink"/>
                </w:rPr>
                <w:t xml:space="preserve">Fla. Stat. ch. 717</w:t>
              </w:r>
            </w:hyperlink>
            <w:r>
              <w:t xml:space="preserve">,</w:t>
            </w:r>
            <w:r>
              <w:t xml:space="preserve"> </w:t>
            </w:r>
            <w:hyperlink r:id="rId52">
              <w:r>
                <w:rPr>
                  <w:rStyle w:val="Hyperlink"/>
                </w:rPr>
                <w:t xml:space="preserve">DFS VDA page</w:t>
              </w:r>
            </w:hyperlink>
            <w:r>
              <w:t xml:space="preserve">,</w:t>
            </w:r>
            <w:r>
              <w:t xml:space="preserve"> </w:t>
            </w:r>
            <w:hyperlink r:id="rId53">
              <w:r>
                <w:rPr>
                  <w:rStyle w:val="Hyperlink"/>
                </w:rPr>
                <w:t xml:space="preserve">Rule 69G-20.050</w:t>
              </w:r>
            </w:hyperlink>
            <w:r>
              <w:t xml:space="preserve">,</w:t>
            </w:r>
            <w:r>
              <w:t xml:space="preserve"> </w:t>
            </w:r>
            <w:hyperlink r:id="rId54">
              <w:r>
                <w:rPr>
                  <w:rStyle w:val="Hyperlink"/>
                </w:rPr>
                <w:t xml:space="preserve">holder portal</w:t>
              </w:r>
            </w:hyperlink>
          </w:p>
        </w:tc>
      </w:tr>
      <w:tr>
        <w:tc>
          <w:tcPr/>
          <w:p>
            <w:pPr>
              <w:pStyle w:val="Compact"/>
              <w:jc w:val="left"/>
            </w:pPr>
            <w:r>
              <w:t xml:space="preserve">Alabama</w:t>
            </w:r>
          </w:p>
        </w:tc>
        <w:tc>
          <w:tcPr/>
          <w:p>
            <w:pPr>
              <w:pStyle w:val="Compact"/>
              <w:jc w:val="left"/>
            </w:pPr>
            <w:r>
              <w:t xml:space="preserve">Before November 1 for the 12 months ending June 30 (35-12-76(c), 35-12-77(e))</w:t>
            </w:r>
          </w:p>
        </w:tc>
        <w:tc>
          <w:tcPr/>
          <w:p>
            <w:pPr>
              <w:pStyle w:val="Compact"/>
              <w:jc w:val="left"/>
            </w:pPr>
            <w:r>
              <w:t xml:space="preserve">$50 or more; written notice at least 60 days before filing (35-12-76(d))</w:t>
            </w:r>
          </w:p>
        </w:tc>
        <w:tc>
          <w:tcPr/>
          <w:p>
            <w:pPr>
              <w:pStyle w:val="Compact"/>
              <w:jc w:val="left"/>
            </w:pPr>
            <w:r>
              <w:t xml:space="preserve">Treasurer VDA: past-due property reported without interest or penalties (Admin. Code 892-2-1-.02(6)). Otherwise $100 per business day up to $5,000, more if willful (35-12-92)</w:t>
            </w:r>
          </w:p>
        </w:tc>
        <w:tc>
          <w:tcPr/>
          <w:p>
            <w:pPr>
              <w:pStyle w:val="Compact"/>
              <w:jc w:val="left"/>
            </w:pPr>
            <w:r>
              <w:t xml:space="preserve">35-12-88(a): expiration of a period set by contract, statute or court order does not preclude abandonment or the duty to report</w:t>
            </w:r>
          </w:p>
        </w:tc>
        <w:tc>
          <w:tcPr/>
          <w:p>
            <w:pPr>
              <w:pStyle w:val="Compact"/>
              <w:jc w:val="left"/>
            </w:pPr>
            <w:hyperlink r:id="rId55">
              <w:r>
                <w:rPr>
                  <w:rStyle w:val="Hyperlink"/>
                </w:rPr>
                <w:t xml:space="preserve">Ala. Code 35-12-70 et seq. (Treasury reprint)</w:t>
              </w:r>
            </w:hyperlink>
            <w:r>
              <w:t xml:space="preserve">,</w:t>
            </w:r>
            <w:r>
              <w:t xml:space="preserve"> </w:t>
            </w:r>
            <w:hyperlink r:id="rId56">
              <w:r>
                <w:rPr>
                  <w:rStyle w:val="Hyperlink"/>
                </w:rPr>
                <w:t xml:space="preserve">dormancy guide</w:t>
              </w:r>
            </w:hyperlink>
            <w:r>
              <w:t xml:space="preserve">,</w:t>
            </w:r>
            <w:r>
              <w:t xml:space="preserve"> </w:t>
            </w:r>
            <w:hyperlink r:id="rId57">
              <w:r>
                <w:rPr>
                  <w:rStyle w:val="Hyperlink"/>
                </w:rPr>
                <w:t xml:space="preserve">reporting guidelines</w:t>
              </w:r>
            </w:hyperlink>
            <w:r>
              <w:t xml:space="preserve">,</w:t>
            </w:r>
            <w:r>
              <w:t xml:space="preserve"> </w:t>
            </w:r>
            <w:hyperlink r:id="rId58">
              <w:r>
                <w:rPr>
                  <w:rStyle w:val="Hyperlink"/>
                </w:rPr>
                <w:t xml:space="preserve">deadlines</w:t>
              </w:r>
            </w:hyperlink>
            <w:r>
              <w:t xml:space="preserve">,</w:t>
            </w:r>
            <w:r>
              <w:t xml:space="preserve"> </w:t>
            </w:r>
            <w:hyperlink r:id="rId59">
              <w:r>
                <w:rPr>
                  <w:rStyle w:val="Hyperlink"/>
                </w:rPr>
                <w:t xml:space="preserve">VDA</w:t>
              </w:r>
            </w:hyperlink>
          </w:p>
        </w:tc>
      </w:tr>
    </w:tbl>
    <w:p>
      <w:pPr>
        <w:pStyle w:val="BodyText"/>
      </w:pPr>
      <w:r>
        <w:rPr>
          <w:bCs/>
          <w:b/>
        </w:rPr>
        <w:t xml:space="preserve">Definitions.</w:t>
      </w:r>
      <w:r>
        <w:t xml:space="preserve"> </w:t>
      </w:r>
      <w:r>
        <w:t xml:space="preserve">Holder: the entity that owes the money (each office LLC). Owner: the agent or payer entitled to it. Dormancy period: the time after an amount becomes payable before it is presumed abandoned. Due diligence: the written notice to the owner required before remittance. Priority rules: the Supreme Court’s allocation of unclaimed property between states. VDA: a voluntary disclosure agreement with a state, which typically waives penalties and interest for holders that come forward before contact.</w:t>
      </w:r>
    </w:p>
    <w:p>
      <w:pPr>
        <w:pStyle w:val="BodyText"/>
      </w:pPr>
      <w:r>
        <w:rPr>
          <w:bCs/>
          <w:b/>
        </w:rPr>
        <w:t xml:space="preserve">Documents relied on.</w:t>
      </w:r>
      <w:r>
        <w:t xml:space="preserve"> </w:t>
      </w:r>
      <w:r>
        <w:t xml:space="preserve">United Cash Requirements workbook (10/6/2026). Accrued_Commissions_Unclaimed_Property_Analysis.xlsx and its build script, in the repository folder accrued-commissions-analysis. Independent contractor agreements for Dallas/Frisco (rev. 4/18/2023), Chicago, Houston (TXR-2301, 07-08-22), TUR legacy sign-up documents, and the Pennsylvania ICA (08.2023). ICA Fee Structure Cheat Sheet and JV ICA Transaction Fee Summary. Entity Management Database.</w:t>
      </w:r>
    </w:p>
    <w:p>
      <w:pPr>
        <w:pStyle w:val="BodyText"/>
      </w:pPr>
      <w:r>
        <w:rPr>
          <w:bCs/>
          <w:b/>
        </w:rPr>
        <w:t xml:space="preserve">Verification and positions adopted.</w:t>
      </w:r>
      <w:r>
        <w:t xml:space="preserve"> </w:t>
      </w:r>
      <w:r>
        <w:t xml:space="preserve">The periods, section numbers, report dates, due-diligence rules, voluntary disclosure terms and anti-limitation provisions above were read from the statute text and the state treasury pages on 10/6/2026; the links are the pages actually read. Positions adopted by management on 10/6/2026: Texas applies the 3-year rule to independent-contractor commissions (no court decision or Comptroller ruling specifically on broker-to-agent commissions was found; the position rests on the statutory definitions and the Comptroller’s property-code table), and the Philadelphia and TUR forfeiture clauses are not relied on against an escheat claim. Still open for counsel’s confirmation: the deposit date is used as a proxy for the payable date; Missouri and the District of Columbia were not researched (no holder is formed in Missouri and the DC balance is zero); and Texas VDA eligibility for an entity that has filed before is not stated on the Comptroller’s pages.</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_rels/footnotes.xml.rels><?xml version="1.0" encoding="UTF-8"?><Relationships xmlns="http://schemas.openxmlformats.org/package/2006/relationships"><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2026-10-06T19:52:17Z</dcterms:created>
  <dcterms:modified xsi:type="dcterms:W3CDTF">2026-10-06T19:52:17Z</dcterms:modified>
</cp:coreProperties>
</file>

<file path=docProps/custom.xml><?xml version="1.0" encoding="utf-8"?>
<Properties xmlns="http://schemas.openxmlformats.org/officeDocument/2006/custom-properties" xmlns:vt="http://schemas.openxmlformats.org/officeDocument/2006/docPropsVTypes"/>
</file>