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f87409bf386e77ae0b280d25f48522e333963b"/>
    <w:p>
      <w:pPr>
        <w:pStyle w:val="Heading1"/>
      </w:pPr>
      <w:r>
        <w:t xml:space="preserve">Accrued Commissions and Unclaimed Property SOP</w:t>
      </w:r>
    </w:p>
    <w:p>
      <w:pPr>
        <w:pStyle w:val="FirstParagraph"/>
      </w:pPr>
      <w:r>
        <w:t xml:space="preserve">As of October 6, 2026. Snapshot of the living Claude Doc; the doc is the editable master.</w:t>
      </w:r>
    </w:p>
    <w:bookmarkStart w:id="20" w:name="purpose-scope-and-cadence"/>
    <w:p>
      <w:pPr>
        <w:pStyle w:val="Heading2"/>
      </w:pPr>
      <w:r>
        <w:t xml:space="preserve">Purpose, scope and cadence</w:t>
      </w:r>
    </w:p>
    <w:p>
      <w:pPr>
        <w:pStyle w:val="FirstParagraph"/>
      </w:pPr>
      <w:r>
        <w:t xml:space="preserve">Unapplied commission deposits are matched monthly, reviewed for unclaimed property quarterly, and reported to the states on each state’s annual calendar. Quarterly is the right review cadence: dormancy periods run one to five years, so nothing turns reportable between quarters that a quarterly review would miss, and the filing cutoffs (March 1, June 30, December 31) each fall at a quarter boundary.</w:t>
      </w:r>
    </w:p>
    <w:p>
      <w:pPr>
        <w:pStyle w:val="BodyText"/>
      </w:pPr>
      <w:r>
        <w:t xml:space="preserve">This SOP covers the accrued commission balances on every entity tab of the United Cash Requirements workbook: Dallas, Houston, Texas United Realty (TUR), Chicago, Philly, Leading Edge, Gallery and DC. It applies to every check or wire deposited into an office operating account that has not been matched to a transaction and booked in Sage.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Cadence</w:t>
            </w:r>
          </w:p>
        </w:tc>
        <w:tc>
          <w:tcPr/>
          <w:p>
            <w:pPr>
              <w:pStyle w:val="Compact"/>
              <w:jc w:val="left"/>
            </w:pPr>
            <w:r>
              <w:t xml:space="preserve">What happens</w:t>
            </w:r>
          </w:p>
        </w:tc>
        <w:tc>
          <w:tcPr/>
          <w:p>
            <w:pPr>
              <w:pStyle w:val="Compact"/>
              <w:jc w:val="left"/>
            </w:pPr>
            <w:r>
              <w:t xml:space="preserve">Owner</w:t>
            </w:r>
          </w:p>
        </w:tc>
        <w:tc>
          <w:tcPr/>
          <w:p>
            <w:pPr>
              <w:pStyle w:val="Compact"/>
              <w:jc w:val="left"/>
            </w:pPr>
            <w:r>
              <w:t xml:space="preserve">Output</w:t>
            </w:r>
          </w:p>
        </w:tc>
      </w:tr>
      <w:tr>
        <w:tc>
          <w:tcPr/>
          <w:p>
            <w:pPr>
              <w:pStyle w:val="Compact"/>
              <w:jc w:val="left"/>
            </w:pPr>
            <w:r>
              <w:t xml:space="preserve">Daily</w:t>
            </w:r>
          </w:p>
        </w:tc>
        <w:tc>
          <w:tcPr/>
          <w:p>
            <w:pPr>
              <w:pStyle w:val="Compact"/>
              <w:jc w:val="left"/>
            </w:pPr>
            <w:r>
              <w:t xml:space="preserve">Deposits logged on the entity tab; booked items marked with an x</w:t>
            </w:r>
          </w:p>
        </w:tc>
        <w:tc>
          <w:tcPr/>
          <w:p>
            <w:pPr>
              <w:pStyle w:val="Compact"/>
              <w:jc w:val="left"/>
            </w:pPr>
            <w:r>
              <w:t xml:space="preserve">Cash team</w:t>
            </w:r>
          </w:p>
        </w:tc>
        <w:tc>
          <w:tcPr/>
          <w:p>
            <w:pPr>
              <w:pStyle w:val="Compact"/>
              <w:jc w:val="left"/>
            </w:pPr>
            <w:r>
              <w:t xml:space="preserve">Cash Requirements workbook</w:t>
            </w:r>
          </w:p>
        </w:tc>
      </w:tr>
      <w:tr>
        <w:tc>
          <w:tcPr/>
          <w:p>
            <w:pPr>
              <w:pStyle w:val="Compact"/>
              <w:jc w:val="left"/>
            </w:pPr>
            <w:r>
              <w:t xml:space="preserve">Monthly, by the 15th</w:t>
            </w:r>
          </w:p>
        </w:tc>
        <w:tc>
          <w:tcPr/>
          <w:p>
            <w:pPr>
              <w:pStyle w:val="Compact"/>
              <w:jc w:val="left"/>
            </w:pPr>
            <w:r>
              <w:t xml:space="preserve">Every deposit older than 30 days is matched, booked, refunded or escalated</w:t>
            </w:r>
          </w:p>
        </w:tc>
        <w:tc>
          <w:tcPr/>
          <w:p>
            <w:pPr>
              <w:pStyle w:val="Compact"/>
              <w:jc w:val="left"/>
            </w:pPr>
            <w:r>
              <w:t xml:space="preserve">Office accountant</w:t>
            </w:r>
          </w:p>
        </w:tc>
        <w:tc>
          <w:tcPr/>
          <w:p>
            <w:pPr>
              <w:pStyle w:val="Compact"/>
              <w:jc w:val="left"/>
            </w:pPr>
            <w:r>
              <w:t xml:space="preserve">Cleared items; escalation list</w:t>
            </w:r>
          </w:p>
        </w:tc>
      </w:tr>
      <w:tr>
        <w:tc>
          <w:tcPr/>
          <w:p>
            <w:pPr>
              <w:pStyle w:val="Compact"/>
              <w:jc w:val="left"/>
            </w:pPr>
            <w:r>
              <w:t xml:space="preserve">Quarterly, within 30 days of quarter end</w:t>
            </w:r>
          </w:p>
        </w:tc>
        <w:tc>
          <w:tcPr/>
          <w:p>
            <w:pPr>
              <w:pStyle w:val="Compact"/>
              <w:jc w:val="left"/>
            </w:pPr>
            <w:r>
              <w:t xml:space="preserve">Aged items classified, agent share estimated, dormancy tested, due-diligence letters queued</w:t>
            </w:r>
          </w:p>
        </w:tc>
        <w:tc>
          <w:tcPr/>
          <w:p>
            <w:pPr>
              <w:pStyle w:val="Compact"/>
              <w:jc w:val="left"/>
            </w:pPr>
            <w:r>
              <w:t xml:space="preserve">Controller</w:t>
            </w:r>
          </w:p>
        </w:tc>
        <w:tc>
          <w:tcPr/>
          <w:p>
            <w:pPr>
              <w:pStyle w:val="Compact"/>
              <w:jc w:val="left"/>
            </w:pPr>
            <w:r>
              <w:t xml:space="preserve">Updated analysis workbook; quarterly memo</w:t>
            </w:r>
          </w:p>
        </w:tc>
      </w:tr>
      <w:tr>
        <w:tc>
          <w:tcPr/>
          <w:p>
            <w:pPr>
              <w:pStyle w:val="Compact"/>
              <w:jc w:val="left"/>
            </w:pPr>
            <w:r>
              <w:t xml:space="preserve">Annually, per state</w:t>
            </w:r>
          </w:p>
        </w:tc>
        <w:tc>
          <w:tcPr/>
          <w:p>
            <w:pPr>
              <w:pStyle w:val="Compact"/>
              <w:jc w:val="left"/>
            </w:pPr>
            <w:r>
              <w:t xml:space="preserve">Reports filed and funds remitted for items past dormancy</w:t>
            </w:r>
          </w:p>
        </w:tc>
        <w:tc>
          <w:tcPr/>
          <w:p>
            <w:pPr>
              <w:pStyle w:val="Compact"/>
              <w:jc w:val="left"/>
            </w:pPr>
            <w:r>
              <w:t xml:space="preserve">Controller with counsel</w:t>
            </w:r>
          </w:p>
        </w:tc>
        <w:tc>
          <w:tcPr/>
          <w:p>
            <w:pPr>
              <w:pStyle w:val="Compact"/>
              <w:jc w:val="left"/>
            </w:pPr>
            <w:r>
              <w:t xml:space="preserve">State filings; remittance JEs</w:t>
            </w:r>
          </w:p>
        </w:tc>
      </w:tr>
    </w:tbl>
    <w:p>
      <w:pPr>
        <w:pStyle w:val="BodyText"/>
      </w:pPr>
      <w:r>
        <w:t xml:space="preserve">This SOP is not legal advice. The state rules it relies on were compiled from statute summaries and state treasury guidance on 10/6/2026 and must be confirmed by counsel before the first filing.</w:t>
      </w:r>
    </w:p>
    <w:bookmarkEnd w:id="20"/>
    <w:bookmarkStart w:id="21" w:name="background-and-findings-as-of-1062026"/>
    <w:p>
      <w:pPr>
        <w:pStyle w:val="Heading2"/>
      </w:pPr>
      <w:r>
        <w:t xml:space="preserve">Background and findings as of 10/6/2026</w:t>
      </w:r>
    </w:p>
    <w:p>
      <w:pPr>
        <w:pStyle w:val="FirstParagraph"/>
      </w:pPr>
      <w:r>
        <w:t xml:space="preserve">The accrued commission balance is unapplied cash, not a commission liability we have measured. Each entity tab keeps a</w:t>
      </w:r>
      <w:r>
        <w:t xml:space="preserve"> </w:t>
      </w:r>
      <w:r>
        <w:t xml:space="preserve">“</w:t>
      </w:r>
      <w:r>
        <w:t xml:space="preserve">Previous Month’s Accrued Commissions</w:t>
      </w:r>
      <w:r>
        <w:t xml:space="preserve">”</w:t>
      </w:r>
      <w:r>
        <w:t xml:space="preserve"> </w:t>
      </w:r>
      <w:r>
        <w:t xml:space="preserve">block of deposited checks, mostly from title companies, landlords and other brokers. A check stays in the block until it is matched to a Paperless Pipeline transaction and booked in Sage. The accrued balance is simply the sum of the unmatched checks.</w:t>
      </w:r>
    </w:p>
    <w:p>
      <w:pPr>
        <w:pStyle w:val="BodyText"/>
      </w:pPr>
      <w:r>
        <w:t xml:space="preserve">Each check is one of three things: the company’s own fee (the transaction fee and E&amp;O paid through closing), a commission that includes an agent’s share, or money that is not ours at all. Only the agent’s share, and anything owed back to a payer, can ever be unclaimed property. Nothing has been written off or reported to any state before now.</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Entity</w:t>
            </w:r>
          </w:p>
        </w:tc>
        <w:tc>
          <w:tcPr/>
          <w:p>
            <w:pPr>
              <w:pStyle w:val="Compact"/>
              <w:jc w:val="right"/>
            </w:pPr>
            <w:r>
              <w:t xml:space="preserve">Unbooked prior-month deposits</w:t>
            </w:r>
          </w:p>
        </w:tc>
        <w:tc>
          <w:tcPr/>
          <w:p>
            <w:pPr>
              <w:pStyle w:val="Compact"/>
              <w:jc w:val="right"/>
            </w:pPr>
            <w:r>
              <w:t xml:space="preserve">Items</w:t>
            </w:r>
          </w:p>
        </w:tc>
        <w:tc>
          <w:tcPr/>
          <w:p>
            <w:pPr>
              <w:pStyle w:val="Compact"/>
              <w:jc w:val="left"/>
            </w:pPr>
            <w:r>
              <w:t xml:space="preserve">Oldest</w:t>
            </w:r>
          </w:p>
        </w:tc>
        <w:tc>
          <w:tcPr/>
          <w:p>
            <w:pPr>
              <w:pStyle w:val="Compact"/>
              <w:jc w:val="right"/>
            </w:pPr>
            <w:r>
              <w:t xml:space="preserve">Of which likely includes agent commission</w:t>
            </w:r>
          </w:p>
        </w:tc>
      </w:tr>
      <w:tr>
        <w:tc>
          <w:tcPr/>
          <w:p>
            <w:pPr>
              <w:pStyle w:val="Compact"/>
              <w:jc w:val="left"/>
            </w:pPr>
            <w:r>
              <w:t xml:space="preserve">Dallas</w:t>
            </w:r>
          </w:p>
        </w:tc>
        <w:tc>
          <w:tcPr/>
          <w:p>
            <w:pPr>
              <w:pStyle w:val="Compact"/>
              <w:jc w:val="right"/>
            </w:pPr>
            <w:r>
              <w:t xml:space="preserve">59,991.62</w:t>
            </w:r>
          </w:p>
        </w:tc>
        <w:tc>
          <w:tcPr/>
          <w:p>
            <w:pPr>
              <w:pStyle w:val="Compact"/>
              <w:jc w:val="right"/>
            </w:pPr>
            <w:r>
              <w:t xml:space="preserve">50</w:t>
            </w:r>
          </w:p>
        </w:tc>
        <w:tc>
          <w:tcPr/>
          <w:p>
            <w:pPr>
              <w:pStyle w:val="Compact"/>
              <w:jc w:val="left"/>
            </w:pPr>
            <w:r>
              <w:t xml:space="preserve">Mar 2023</w:t>
            </w:r>
          </w:p>
        </w:tc>
        <w:tc>
          <w:tcPr/>
          <w:p>
            <w:pPr>
              <w:pStyle w:val="Compact"/>
              <w:jc w:val="right"/>
            </w:pPr>
            <w:r>
              <w:t xml:space="preserve">29,646.91</w:t>
            </w:r>
          </w:p>
        </w:tc>
      </w:tr>
      <w:tr>
        <w:tc>
          <w:tcPr/>
          <w:p>
            <w:pPr>
              <w:pStyle w:val="Compact"/>
              <w:jc w:val="left"/>
            </w:pPr>
            <w:r>
              <w:t xml:space="preserve">Houston</w:t>
            </w:r>
          </w:p>
        </w:tc>
        <w:tc>
          <w:tcPr/>
          <w:p>
            <w:pPr>
              <w:pStyle w:val="Compact"/>
              <w:jc w:val="right"/>
            </w:pPr>
            <w:r>
              <w:t xml:space="preserve">76,889.50</w:t>
            </w:r>
          </w:p>
        </w:tc>
        <w:tc>
          <w:tcPr/>
          <w:p>
            <w:pPr>
              <w:pStyle w:val="Compact"/>
              <w:jc w:val="right"/>
            </w:pPr>
            <w:r>
              <w:t xml:space="preserve">40</w:t>
            </w:r>
          </w:p>
        </w:tc>
        <w:tc>
          <w:tcPr/>
          <w:p>
            <w:pPr>
              <w:pStyle w:val="Compact"/>
              <w:jc w:val="left"/>
            </w:pPr>
            <w:r>
              <w:t xml:space="preserve">Jan 2022</w:t>
            </w:r>
          </w:p>
        </w:tc>
        <w:tc>
          <w:tcPr/>
          <w:p>
            <w:pPr>
              <w:pStyle w:val="Compact"/>
              <w:jc w:val="right"/>
            </w:pPr>
            <w:r>
              <w:t xml:space="preserve">69,905.50</w:t>
            </w:r>
          </w:p>
        </w:tc>
      </w:tr>
      <w:tr>
        <w:tc>
          <w:tcPr/>
          <w:p>
            <w:pPr>
              <w:pStyle w:val="Compact"/>
              <w:jc w:val="left"/>
            </w:pPr>
            <w:r>
              <w:t xml:space="preserve">TUR</w:t>
            </w:r>
          </w:p>
        </w:tc>
        <w:tc>
          <w:tcPr/>
          <w:p>
            <w:pPr>
              <w:pStyle w:val="Compact"/>
              <w:jc w:val="right"/>
            </w:pPr>
            <w:r>
              <w:t xml:space="preserve">55,528.45</w:t>
            </w:r>
          </w:p>
        </w:tc>
        <w:tc>
          <w:tcPr/>
          <w:p>
            <w:pPr>
              <w:pStyle w:val="Compact"/>
              <w:jc w:val="right"/>
            </w:pPr>
            <w:r>
              <w:t xml:space="preserve">50</w:t>
            </w:r>
          </w:p>
        </w:tc>
        <w:tc>
          <w:tcPr/>
          <w:p>
            <w:pPr>
              <w:pStyle w:val="Compact"/>
              <w:jc w:val="left"/>
            </w:pPr>
            <w:r>
              <w:t xml:space="preserve">Jan 2023</w:t>
            </w:r>
          </w:p>
        </w:tc>
        <w:tc>
          <w:tcPr/>
          <w:p>
            <w:pPr>
              <w:pStyle w:val="Compact"/>
              <w:jc w:val="right"/>
            </w:pPr>
            <w:r>
              <w:t xml:space="preserve">46,822.20</w:t>
            </w:r>
          </w:p>
        </w:tc>
      </w:tr>
      <w:tr>
        <w:tc>
          <w:tcPr/>
          <w:p>
            <w:pPr>
              <w:pStyle w:val="Compact"/>
              <w:jc w:val="left"/>
            </w:pPr>
            <w:r>
              <w:t xml:space="preserve">Philly</w:t>
            </w:r>
          </w:p>
        </w:tc>
        <w:tc>
          <w:tcPr/>
          <w:p>
            <w:pPr>
              <w:pStyle w:val="Compact"/>
              <w:jc w:val="right"/>
            </w:pPr>
            <w:r>
              <w:t xml:space="preserve">29,708.78</w:t>
            </w:r>
          </w:p>
        </w:tc>
        <w:tc>
          <w:tcPr/>
          <w:p>
            <w:pPr>
              <w:pStyle w:val="Compact"/>
              <w:jc w:val="right"/>
            </w:pPr>
            <w:r>
              <w:t xml:space="preserve">34</w:t>
            </w:r>
          </w:p>
        </w:tc>
        <w:tc>
          <w:tcPr/>
          <w:p>
            <w:pPr>
              <w:pStyle w:val="Compact"/>
              <w:jc w:val="left"/>
            </w:pPr>
            <w:r>
              <w:t xml:space="preserve">Sep 2023</w:t>
            </w:r>
          </w:p>
        </w:tc>
        <w:tc>
          <w:tcPr/>
          <w:p>
            <w:pPr>
              <w:pStyle w:val="Compact"/>
              <w:jc w:val="right"/>
            </w:pPr>
            <w:r>
              <w:t xml:space="preserve">22,864.78</w:t>
            </w:r>
          </w:p>
        </w:tc>
      </w:tr>
      <w:tr>
        <w:tc>
          <w:tcPr/>
          <w:p>
            <w:pPr>
              <w:pStyle w:val="Compact"/>
              <w:jc w:val="left"/>
            </w:pPr>
            <w:r>
              <w:t xml:space="preserve">Gallery</w:t>
            </w:r>
          </w:p>
        </w:tc>
        <w:tc>
          <w:tcPr/>
          <w:p>
            <w:pPr>
              <w:pStyle w:val="Compact"/>
              <w:jc w:val="right"/>
            </w:pPr>
            <w:r>
              <w:t xml:space="preserve">4,001.11</w:t>
            </w:r>
          </w:p>
        </w:tc>
        <w:tc>
          <w:tcPr/>
          <w:p>
            <w:pPr>
              <w:pStyle w:val="Compact"/>
              <w:jc w:val="right"/>
            </w:pPr>
            <w:r>
              <w:t xml:space="preserve">4</w:t>
            </w:r>
          </w:p>
        </w:tc>
        <w:tc>
          <w:tcPr/>
          <w:p>
            <w:pPr>
              <w:pStyle w:val="Compact"/>
              <w:jc w:val="left"/>
            </w:pPr>
            <w:r>
              <w:t xml:space="preserve">May 2026</w:t>
            </w:r>
          </w:p>
        </w:tc>
        <w:tc>
          <w:tcPr/>
          <w:p>
            <w:pPr>
              <w:pStyle w:val="Compact"/>
              <w:jc w:val="right"/>
            </w:pPr>
            <w:r>
              <w:t xml:space="preserve">4,001.11</w:t>
            </w:r>
          </w:p>
        </w:tc>
      </w:tr>
      <w:tr>
        <w:tc>
          <w:tcPr/>
          <w:p>
            <w:pPr>
              <w:pStyle w:val="Compact"/>
              <w:jc w:val="left"/>
            </w:pPr>
            <w:r>
              <w:t xml:space="preserve">Leading Edge</w:t>
            </w:r>
          </w:p>
        </w:tc>
        <w:tc>
          <w:tcPr/>
          <w:p>
            <w:pPr>
              <w:pStyle w:val="Compact"/>
              <w:jc w:val="right"/>
            </w:pPr>
            <w:r>
              <w:t xml:space="preserve">645.00</w:t>
            </w:r>
          </w:p>
        </w:tc>
        <w:tc>
          <w:tcPr/>
          <w:p>
            <w:pPr>
              <w:pStyle w:val="Compact"/>
              <w:jc w:val="right"/>
            </w:pPr>
            <w:r>
              <w:t xml:space="preserve">3</w:t>
            </w:r>
          </w:p>
        </w:tc>
        <w:tc>
          <w:tcPr/>
          <w:p>
            <w:pPr>
              <w:pStyle w:val="Compact"/>
              <w:jc w:val="left"/>
            </w:pPr>
            <w:r>
              <w:t xml:space="preserve">Apr 2026</w:t>
            </w:r>
          </w:p>
        </w:tc>
        <w:tc>
          <w:tcPr/>
          <w:p>
            <w:pPr>
              <w:pStyle w:val="Compact"/>
              <w:jc w:val="right"/>
            </w:pPr>
            <w:r>
              <w:t xml:space="preserve">0.00</w:t>
            </w:r>
          </w:p>
        </w:tc>
      </w:tr>
      <w:tr>
        <w:tc>
          <w:tcPr/>
          <w:p>
            <w:pPr>
              <w:pStyle w:val="Compact"/>
              <w:jc w:val="left"/>
            </w:pPr>
            <w:r>
              <w:t xml:space="preserve">Chicago, DC</w:t>
            </w:r>
          </w:p>
        </w:tc>
        <w:tc>
          <w:tcPr/>
          <w:p>
            <w:pPr>
              <w:pStyle w:val="Compact"/>
              <w:jc w:val="right"/>
            </w:pPr>
            <w:r>
              <w:t xml:space="preserve">0.00</w:t>
            </w:r>
          </w:p>
        </w:tc>
        <w:tc>
          <w:tcPr/>
          <w:p>
            <w:pPr>
              <w:pStyle w:val="Compact"/>
              <w:jc w:val="right"/>
            </w:pPr>
            <w:r>
              <w:t xml:space="preserve">0</w:t>
            </w:r>
          </w:p>
        </w:tc>
        <w:tc>
          <w:tcPr/>
          <w:p>
            <w:pPr>
              <w:pStyle w:val="Compact"/>
            </w:pPr>
          </w:p>
        </w:tc>
        <w:tc>
          <w:tcPr/>
          <w:p>
            <w:pPr>
              <w:pStyle w:val="Compact"/>
              <w:jc w:val="right"/>
            </w:pPr>
            <w:r>
              <w:t xml:space="preserve">0.00</w:t>
            </w:r>
          </w:p>
        </w:tc>
      </w:tr>
      <w:tr>
        <w:tc>
          <w:tcPr/>
          <w:p>
            <w:pPr>
              <w:pStyle w:val="Compact"/>
              <w:jc w:val="left"/>
            </w:pPr>
            <w:r>
              <w:t xml:space="preserve">Total</w:t>
            </w:r>
          </w:p>
        </w:tc>
        <w:tc>
          <w:tcPr/>
          <w:p>
            <w:pPr>
              <w:pStyle w:val="Compact"/>
              <w:jc w:val="right"/>
            </w:pPr>
            <w:r>
              <w:t xml:space="preserve">226,764.46</w:t>
            </w:r>
          </w:p>
        </w:tc>
        <w:tc>
          <w:tcPr/>
          <w:p>
            <w:pPr>
              <w:pStyle w:val="Compact"/>
              <w:jc w:val="right"/>
            </w:pPr>
            <w:r>
              <w:t xml:space="preserve">181</w:t>
            </w:r>
          </w:p>
        </w:tc>
        <w:tc>
          <w:tcPr/>
          <w:p>
            <w:pPr>
              <w:pStyle w:val="Compact"/>
            </w:pPr>
          </w:p>
        </w:tc>
        <w:tc>
          <w:tcPr/>
          <w:p>
            <w:pPr>
              <w:pStyle w:val="Compact"/>
              <w:jc w:val="right"/>
            </w:pPr>
            <w:r>
              <w:t xml:space="preserve">173,240.50</w:t>
            </w:r>
          </w:p>
        </w:tc>
      </w:tr>
    </w:tbl>
    <w:p>
      <w:pPr>
        <w:pStyle w:val="BodyText"/>
      </w:pPr>
      <w:r>
        <w:t xml:space="preserve">A further 144,542.00 of September and October 2026 deposits sits in the current-month blocks and is in normal matching. Of the 181 aged items, 48 are exact fee amounts (20,825.00), 15 are small amounts under $250 (2,058.33), 16 carry memos saying the check is not ours or the agent is unknown (30,640.63), and 102 are larger checks that likely include an agent’s share (173,240.50). Under each entity’s likely dormancy test, at most 13,407.75 is dormant today and at most 21,256.75 will be dormant at the next report cutoff, before the agent share is deducted for the company’s fee. The supporting detail is in the analysis workbook, Accrued_Commissions_Unclaimed_Property_Analysis.xlsx.</w:t>
      </w:r>
    </w:p>
    <w:bookmarkEnd w:id="21"/>
    <w:bookmarkStart w:id="22" w:name="legal-framework"/>
    <w:p>
      <w:pPr>
        <w:pStyle w:val="Heading2"/>
      </w:pPr>
      <w:r>
        <w:t xml:space="preserve">Legal framework</w:t>
      </w:r>
    </w:p>
    <w:p>
      <w:pPr>
        <w:pStyle w:val="FirstParagraph"/>
      </w:pPr>
      <w:r>
        <w:t xml:space="preserve">Texas rules govern most of the population, because five of the seven holder entities are Texas LLCs and the agents are independent contractors. Five principles drive every decision in this SOP.</w:t>
      </w:r>
    </w:p>
    <w:p>
      <w:pPr>
        <w:numPr>
          <w:ilvl w:val="0"/>
          <w:numId w:val="1001"/>
        </w:numPr>
        <w:pStyle w:val="Compact"/>
      </w:pPr>
      <w:r>
        <w:rPr>
          <w:bCs/>
          <w:b/>
        </w:rPr>
        <w:t xml:space="preserve">Which state gets the property.</w:t>
      </w:r>
      <w:r>
        <w:t xml:space="preserve"> </w:t>
      </w:r>
      <w:r>
        <w:t xml:space="preserve">Under Texas v. New Jersey, 379 U.S. 674 (1965), property goes first to the state of the owner’s last-known address in the holder’s records, and second, where the records show no address, to the holder’s state of formation. Per the Entity Management Database, URE Dallas, URE Houston, Quick Close Properties (TUR), URE Chicago and URE Philadelphia are Texas LLCs; RaySon Partners d/b/a URE Gallery is a Florida LLC; Leading Edge Realty is an Alabama entity. Chicago and Philadelphia are only registered as foreign LLCs in Illinois and Pennsylvania. An unknown-agent item at Philly therefore goes to Texas, not Pennsylvania.</w:t>
      </w:r>
    </w:p>
    <w:p>
      <w:pPr>
        <w:numPr>
          <w:ilvl w:val="0"/>
          <w:numId w:val="1001"/>
        </w:numPr>
        <w:pStyle w:val="Compact"/>
      </w:pPr>
      <w:r>
        <w:rPr>
          <w:bCs/>
          <w:b/>
        </w:rPr>
        <w:t xml:space="preserve">When it becomes reportable.</w:t>
      </w:r>
      <w:r>
        <w:t xml:space="preserve"> </w:t>
      </w:r>
      <w:r>
        <w:t xml:space="preserve">Each state presumes property abandoned after a dormancy period that runs from the date the amount became payable. Under the Houston agreement the agent’s share is payable when the Broker receives its fee; the other agreements pay promptly after receipt subject to a complete file. The deposit date is used as the trigger throughout.</w:t>
      </w:r>
    </w:p>
    <w:p>
      <w:pPr>
        <w:numPr>
          <w:ilvl w:val="0"/>
          <w:numId w:val="1001"/>
        </w:numPr>
        <w:pStyle w:val="Compact"/>
      </w:pPr>
      <w:r>
        <w:rPr>
          <w:bCs/>
          <w:b/>
        </w:rPr>
        <w:t xml:space="preserve">Which period applies.</w:t>
      </w:r>
      <w:r>
        <w:t xml:space="preserve"> </w:t>
      </w:r>
      <w:r>
        <w:t xml:space="preserve">Texas uses 3 years for general property and 1 year for wages, but Texas defines wages through Labor Code 61.001, which excludes independent contractors, so the 3-year period is the likely test. Illinois (1 year for other compensation for personal services), Alabama (1 year, same wording) and Pennsylvania (2 years for wages and commissions) likely apply their shorter periods to contractor commissions. Florida’s 1-year wage rule has not been shown to reach contractors, so its 5-year general period is the likely test.</w:t>
      </w:r>
    </w:p>
    <w:p>
      <w:pPr>
        <w:numPr>
          <w:ilvl w:val="0"/>
          <w:numId w:val="1001"/>
        </w:numPr>
        <w:pStyle w:val="Compact"/>
      </w:pPr>
      <w:r>
        <w:rPr>
          <w:bCs/>
          <w:b/>
        </w:rPr>
        <w:t xml:space="preserve">What the company may keep.</w:t>
      </w:r>
      <w:r>
        <w:t xml:space="preserve"> </w:t>
      </w:r>
      <w:r>
        <w:t xml:space="preserve">The company’s contractual fee and E&amp;O on each check is revenue and is never unclaimed property. Amounts an agent owes the company may be offset under every agreement. A contractual forfeiture (the Philly 60-day incomplete-file clause, the TUR breach clauses) is not a safe basis for keeping money: unclaimed property acts carry anti-limitation provisions, Alabama’s expressly, that disregard contractual limits on the owner’s right. Treat forfeiture as a counsel question, item by item.</w:t>
      </w:r>
    </w:p>
    <w:p>
      <w:pPr>
        <w:numPr>
          <w:ilvl w:val="0"/>
          <w:numId w:val="1001"/>
        </w:numPr>
        <w:pStyle w:val="Compact"/>
      </w:pPr>
      <w:r>
        <w:rPr>
          <w:bCs/>
          <w:b/>
        </w:rPr>
        <w:t xml:space="preserve">Private escheat is prohibited.</w:t>
      </w:r>
      <w:r>
        <w:t xml:space="preserve"> </w:t>
      </w:r>
      <w:r>
        <w:t xml:space="preserve">An unknown owner does not make the money the company’s. Amounts owed to others that are written off to income remain reportable, and audits look back ten years or more.</w:t>
      </w:r>
    </w:p>
    <w:p>
      <w:pPr>
        <w:pStyle w:val="FirstParagraph"/>
      </w:pPr>
      <w:r>
        <w:t xml:space="preserve">Voluntary disclosure agreements are available in Texas (penalty and interest waived; not available once the Comptroller has made contact) and Florida (no penalties, five-year look-back). Pennsylvania’s amnesty ended in 2010 and interest of 12% per year is cited from the due date. Illinois and Missouri programs were not researched.</w:t>
      </w:r>
    </w:p>
    <w:bookmarkEnd w:id="22"/>
    <w:bookmarkStart w:id="23" w:name="roles-and-responsibilities"/>
    <w:p>
      <w:pPr>
        <w:pStyle w:val="Heading2"/>
      </w:pPr>
      <w:r>
        <w:t xml:space="preserve">Roles and responsibilities</w:t>
      </w:r>
    </w:p>
    <w:p>
      <w:pPr>
        <w:pStyle w:val="FirstParagraph"/>
      </w:pPr>
      <w:r>
        <w:t xml:space="preserve">The Controller owns the process end to end; the office accountants own the matching; counsel owns the legal positions.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Responsibilities</w:t>
            </w:r>
          </w:p>
        </w:tc>
      </w:tr>
      <w:tr>
        <w:tc>
          <w:tcPr/>
          <w:p>
            <w:pPr>
              <w:pStyle w:val="Compact"/>
              <w:jc w:val="left"/>
            </w:pPr>
            <w:r>
              <w:t xml:space="preserve">Cash team</w:t>
            </w:r>
          </w:p>
        </w:tc>
        <w:tc>
          <w:tcPr/>
          <w:p>
            <w:pPr>
              <w:pStyle w:val="Compact"/>
              <w:jc w:val="left"/>
            </w:pPr>
            <w:r>
              <w:t xml:space="preserve">Log every deposit on the entity tab the day it posts, with date, check number, amount, payer and memo. Mark the x when the item is booked in Sage.</w:t>
            </w:r>
          </w:p>
        </w:tc>
      </w:tr>
      <w:tr>
        <w:tc>
          <w:tcPr/>
          <w:p>
            <w:pPr>
              <w:pStyle w:val="Compact"/>
              <w:jc w:val="left"/>
            </w:pPr>
            <w:r>
              <w:t xml:space="preserve">Office accountant (per entity)</w:t>
            </w:r>
          </w:p>
        </w:tc>
        <w:tc>
          <w:tcPr/>
          <w:p>
            <w:pPr>
              <w:pStyle w:val="Compact"/>
              <w:jc w:val="left"/>
            </w:pPr>
            <w:r>
              <w:t xml:space="preserve">Match deposits to Paperless Pipeline within 30 days. Book fees to revenue, pay agents, refund payers. Escalate anything unmatched at 30 days.</w:t>
            </w:r>
          </w:p>
        </w:tc>
      </w:tr>
      <w:tr>
        <w:tc>
          <w:tcPr/>
          <w:p>
            <w:pPr>
              <w:pStyle w:val="Compact"/>
              <w:jc w:val="left"/>
            </w:pPr>
            <w:r>
              <w:t xml:space="preserve">Controller</w:t>
            </w:r>
          </w:p>
        </w:tc>
        <w:tc>
          <w:tcPr/>
          <w:p>
            <w:pPr>
              <w:pStyle w:val="Compact"/>
              <w:jc w:val="left"/>
            </w:pPr>
            <w:r>
              <w:t xml:space="preserve">Run the quarterly review, maintain the analysis workbook, approve estimated splits, approve due-diligence letters, prepare state reports and remittance JEs, keep the filing calendar.</w:t>
            </w:r>
          </w:p>
        </w:tc>
      </w:tr>
      <w:tr>
        <w:tc>
          <w:tcPr/>
          <w:p>
            <w:pPr>
              <w:pStyle w:val="Compact"/>
              <w:jc w:val="left"/>
            </w:pPr>
            <w:r>
              <w:t xml:space="preserve">Counsel or unclaimed property advisor</w:t>
            </w:r>
          </w:p>
        </w:tc>
        <w:tc>
          <w:tcPr/>
          <w:p>
            <w:pPr>
              <w:pStyle w:val="Compact"/>
              <w:jc w:val="left"/>
            </w:pPr>
            <w:r>
              <w:t xml:space="preserve">Confirm dormancy periods, the priority-rule application, treatment of forfeiture and offset clauses, VDA strategy, and sign off before each filing.</w:t>
            </w:r>
          </w:p>
        </w:tc>
      </w:tr>
      <w:tr>
        <w:tc>
          <w:tcPr/>
          <w:p>
            <w:pPr>
              <w:pStyle w:val="Compact"/>
              <w:jc w:val="left"/>
            </w:pPr>
            <w:r>
              <w:t xml:space="preserve">CFO</w:t>
            </w:r>
          </w:p>
        </w:tc>
        <w:tc>
          <w:tcPr/>
          <w:p>
            <w:pPr>
              <w:pStyle w:val="Compact"/>
              <w:jc w:val="left"/>
            </w:pPr>
            <w:r>
              <w:t xml:space="preserve">Approve the one-time remediation plan, any VDA submission, and any decision to retain an amount under a forfeiture clause.</w:t>
            </w:r>
          </w:p>
        </w:tc>
      </w:tr>
    </w:tbl>
    <w:bookmarkEnd w:id="23"/>
    <w:bookmarkStart w:id="24" w:name="Xd93fd1f21b554511fd741c7126b0ef8be144969"/>
    <w:p>
      <w:pPr>
        <w:pStyle w:val="Heading2"/>
      </w:pPr>
      <w:r>
        <w:t xml:space="preserve">Monthly procedure: clear every deposit within 30 days</w:t>
      </w:r>
    </w:p>
    <w:p>
      <w:pPr>
        <w:pStyle w:val="FirstParagraph"/>
      </w:pPr>
      <w:r>
        <w:t xml:space="preserve">The goal of the monthly step is that no deposit reaches the quarterly review unexplained. By the 15th of each month, each office accountant works every deposit older than 30 days on their entity tab.</w:t>
      </w:r>
    </w:p>
    <w:p>
      <w:pPr>
        <w:numPr>
          <w:ilvl w:val="0"/>
          <w:numId w:val="1002"/>
        </w:numPr>
        <w:pStyle w:val="Compact"/>
      </w:pPr>
      <w:r>
        <w:t xml:space="preserve">Pull the unbooked rows (no x) from the entity tab’s deposited-checks and prior-month accrued blocks.</w:t>
      </w:r>
    </w:p>
    <w:p>
      <w:pPr>
        <w:numPr>
          <w:ilvl w:val="0"/>
          <w:numId w:val="1002"/>
        </w:numPr>
        <w:pStyle w:val="Compact"/>
      </w:pPr>
      <w:r>
        <w:t xml:space="preserve">Match each to a Paperless Pipeline transaction by check number, payer, property address or closing date. Ask the payer for the file reference if the memo is blank; a title company can identify a check from its number and date in minutes.</w:t>
      </w:r>
    </w:p>
    <w:p>
      <w:pPr>
        <w:numPr>
          <w:ilvl w:val="0"/>
          <w:numId w:val="1002"/>
        </w:numPr>
        <w:pStyle w:val="Compact"/>
      </w:pPr>
      <w:r>
        <w:t xml:space="preserve">Classify and act:</w:t>
      </w:r>
    </w:p>
    <w:p>
      <w:pPr>
        <w:numPr>
          <w:ilvl w:val="1"/>
          <w:numId w:val="1003"/>
        </w:numPr>
        <w:pStyle w:val="Compact"/>
      </w:pPr>
      <w:r>
        <w:t xml:space="preserve">Exact fee amount (see the fee lists in the workbook, Summary rows 4 to 7): book to transaction fee or E&amp;O revenue. No further action.</w:t>
      </w:r>
    </w:p>
    <w:p>
      <w:pPr>
        <w:numPr>
          <w:ilvl w:val="1"/>
          <w:numId w:val="1003"/>
        </w:numPr>
        <w:pStyle w:val="Compact"/>
      </w:pPr>
      <w:r>
        <w:t xml:space="preserve">Commission check with an identifiable agent: book the company’s fee to revenue, pay the agent’s share, and record the agent’s name and address state in the workbook.</w:t>
      </w:r>
    </w:p>
    <w:p>
      <w:pPr>
        <w:numPr>
          <w:ilvl w:val="1"/>
          <w:numId w:val="1003"/>
        </w:numPr>
        <w:pStyle w:val="Compact"/>
      </w:pPr>
      <w:r>
        <w:t xml:space="preserve">Check that is not ours (wrong office, duplicate, unknown property): refund the payer and document the refund.</w:t>
      </w:r>
    </w:p>
    <w:p>
      <w:pPr>
        <w:numPr>
          <w:ilvl w:val="1"/>
          <w:numId w:val="1003"/>
        </w:numPr>
        <w:pStyle w:val="Compact"/>
      </w:pPr>
      <w:r>
        <w:t xml:space="preserve">Legal hold or dispute: segregate, note the reason, and leave it in the block with a hold flag.</w:t>
      </w:r>
    </w:p>
    <w:p>
      <w:pPr>
        <w:numPr>
          <w:ilvl w:val="0"/>
          <w:numId w:val="1002"/>
        </w:numPr>
        <w:pStyle w:val="Compact"/>
      </w:pPr>
      <w:r>
        <w:t xml:space="preserve">Anything still unmatched at 30 days is escalated to the Controller with the research done so far and goes on the quarterly list.</w:t>
      </w:r>
    </w:p>
    <w:p>
      <w:pPr>
        <w:numPr>
          <w:ilvl w:val="0"/>
          <w:numId w:val="1002"/>
        </w:numPr>
        <w:pStyle w:val="Compact"/>
      </w:pPr>
      <w:r>
        <w:t xml:space="preserve">Record the agent’s name, last-known address state and the fee or agent split in the analysis workbook’s Detail tab for every item cleared or escalated. This is the record the priority rule depends on.</w:t>
      </w:r>
    </w:p>
    <w:p>
      <w:pPr>
        <w:pStyle w:val="FirstParagraph"/>
      </w:pPr>
      <w:r>
        <w:t xml:space="preserve">An item is never written off to income because the owner cannot be found. It stays on the list until it is paid, refunded, escheated, or counsel confirms the company is entitled to it.</w:t>
      </w:r>
    </w:p>
    <w:bookmarkEnd w:id="24"/>
    <w:bookmarkStart w:id="25" w:name="quarterly-unclaimed-property-review"/>
    <w:p>
      <w:pPr>
        <w:pStyle w:val="Heading2"/>
      </w:pPr>
      <w:r>
        <w:t xml:space="preserve">Quarterly unclaimed property review</w:t>
      </w:r>
    </w:p>
    <w:p>
      <w:pPr>
        <w:pStyle w:val="FirstParagraph"/>
      </w:pPr>
      <w:r>
        <w:t xml:space="preserve">Within 30 days of each quarter end, the Controller re-runs the analysis workbook, works the aged list, and documents the result in a short quarterly memo. The review takes the escalated items from the monthly step and answers three questions for each: whose money is it, how much of it, and when does it become reportable.</w:t>
      </w:r>
    </w:p>
    <w:p>
      <w:pPr>
        <w:numPr>
          <w:ilvl w:val="0"/>
          <w:numId w:val="1004"/>
        </w:numPr>
        <w:pStyle w:val="Compact"/>
      </w:pPr>
      <w:r>
        <w:rPr>
          <w:bCs/>
          <w:b/>
        </w:rPr>
        <w:t xml:space="preserve">Refresh the data.</w:t>
      </w:r>
      <w:r>
        <w:t xml:space="preserve"> </w:t>
      </w:r>
      <w:r>
        <w:t xml:space="preserve">Re-extract the prior-month accrued blocks from the Cash Requirements workbook into the analysis workbook (the build script does this from the two CSV extracts) and set the as-of date to quarter end. Confirm every entity total ties to the tab’s outstanding amount.</w:t>
      </w:r>
    </w:p>
    <w:p>
      <w:pPr>
        <w:numPr>
          <w:ilvl w:val="0"/>
          <w:numId w:val="1004"/>
        </w:numPr>
        <w:pStyle w:val="Compact"/>
      </w:pPr>
      <w:r>
        <w:rPr>
          <w:bCs/>
          <w:b/>
        </w:rPr>
        <w:t xml:space="preserve">Update the fee lists</w:t>
      </w:r>
      <w:r>
        <w:t xml:space="preserve"> </w:t>
      </w:r>
      <w:r>
        <w:t xml:space="preserve">if any office changed its fee schedule during the quarter.</w:t>
      </w:r>
    </w:p>
    <w:p>
      <w:pPr>
        <w:numPr>
          <w:ilvl w:val="0"/>
          <w:numId w:val="1004"/>
        </w:numPr>
        <w:pStyle w:val="Compact"/>
      </w:pPr>
      <w:r>
        <w:rPr>
          <w:bCs/>
          <w:b/>
        </w:rPr>
        <w:t xml:space="preserve">Classify.</w:t>
      </w:r>
      <w:r>
        <w:t xml:space="preserve"> </w:t>
      </w:r>
      <w:r>
        <w:t xml:space="preserve">Confirm the workbook’s classification of each item: fee, small amount, memo-flagged, or larger commission check. Override any item the monthly research has resolved.</w:t>
      </w:r>
    </w:p>
    <w:p>
      <w:pPr>
        <w:numPr>
          <w:ilvl w:val="0"/>
          <w:numId w:val="1004"/>
        </w:numPr>
        <w:pStyle w:val="Compact"/>
      </w:pPr>
      <w:r>
        <w:rPr>
          <w:bCs/>
          <w:b/>
        </w:rPr>
        <w:t xml:space="preserve">Identify owners.</w:t>
      </w:r>
      <w:r>
        <w:t xml:space="preserve"> </w:t>
      </w:r>
      <w:r>
        <w:t xml:space="preserve">For every larger item, record the agent’s name and last-known address state from the Agent Information sheet or Paperless Pipeline. Where the agent is unknown, the item defaults to the entity’s formation state.</w:t>
      </w:r>
    </w:p>
    <w:p>
      <w:pPr>
        <w:numPr>
          <w:ilvl w:val="0"/>
          <w:numId w:val="1004"/>
        </w:numPr>
        <w:pStyle w:val="Compact"/>
      </w:pPr>
      <w:r>
        <w:rPr>
          <w:bCs/>
          <w:b/>
        </w:rPr>
        <w:t xml:space="preserve">Estimate the split.</w:t>
      </w:r>
      <w:r>
        <w:t xml:space="preserve"> </w:t>
      </w:r>
      <w:r>
        <w:t xml:space="preserve">Enter the documented fee and agent share where the Disbursement Authorization or Closing Disclosure exists. Where it does not, apply the estimation rule in the next section.</w:t>
      </w:r>
    </w:p>
    <w:p>
      <w:pPr>
        <w:numPr>
          <w:ilvl w:val="0"/>
          <w:numId w:val="1004"/>
        </w:numPr>
        <w:pStyle w:val="Compact"/>
      </w:pPr>
      <w:r>
        <w:rPr>
          <w:bCs/>
          <w:b/>
        </w:rPr>
        <w:t xml:space="preserve">Test dormancy.</w:t>
      </w:r>
      <w:r>
        <w:t xml:space="preserve"> </w:t>
      </w:r>
      <w:r>
        <w:t xml:space="preserve">The workbook flags each item dormant today and dormant at the next state cutoff under the likely test for its governing state.</w:t>
      </w:r>
    </w:p>
    <w:p>
      <w:pPr>
        <w:numPr>
          <w:ilvl w:val="0"/>
          <w:numId w:val="1004"/>
        </w:numPr>
        <w:pStyle w:val="Compact"/>
      </w:pPr>
      <w:r>
        <w:rPr>
          <w:bCs/>
          <w:b/>
        </w:rPr>
        <w:t xml:space="preserve">Queue due diligence.</w:t>
      </w:r>
      <w:r>
        <w:t xml:space="preserve"> </w:t>
      </w:r>
      <w:r>
        <w:t xml:space="preserve">Every item that will be dormant at the next cutoff and has an owner address goes on the due-diligence letter list for that state’s window.</w:t>
      </w:r>
    </w:p>
    <w:p>
      <w:pPr>
        <w:numPr>
          <w:ilvl w:val="0"/>
          <w:numId w:val="1004"/>
        </w:numPr>
        <w:pStyle w:val="Compact"/>
      </w:pPr>
      <w:r>
        <w:rPr>
          <w:bCs/>
          <w:b/>
        </w:rPr>
        <w:t xml:space="preserve">Decide and document.</w:t>
      </w:r>
      <w:r>
        <w:t xml:space="preserve"> </w:t>
      </w:r>
      <w:r>
        <w:t xml:space="preserve">For each dormant item: pay the agent, refund the payer, report and remit, or hold pending counsel. Items held under a forfeiture or offset argument are listed separately with the supporting facts.</w:t>
      </w:r>
    </w:p>
    <w:p>
      <w:pPr>
        <w:numPr>
          <w:ilvl w:val="0"/>
          <w:numId w:val="1004"/>
        </w:numPr>
        <w:pStyle w:val="Compact"/>
      </w:pPr>
      <w:r>
        <w:rPr>
          <w:bCs/>
          <w:b/>
        </w:rPr>
        <w:t xml:space="preserve">Write the quarterly memo.</w:t>
      </w:r>
      <w:r>
        <w:t xml:space="preserve"> </w:t>
      </w:r>
      <w:r>
        <w:t xml:space="preserve">One page: balance by entity, aging, dormant amounts by state, letters sent, items resolved this quarter, items referred to counsel, and the next filing dates.</w:t>
      </w:r>
    </w:p>
    <w:p>
      <w:pPr>
        <w:pStyle w:val="FirstParagraph"/>
      </w:pPr>
      <w:r>
        <w:t xml:space="preserve">The quarterly memo and the updated workbook are saved to the Unclaimed Property Analysis folder and to the repository branch so the history of each item is preserved.</w:t>
      </w:r>
    </w:p>
    <w:bookmarkEnd w:id="25"/>
    <w:bookmarkStart w:id="26" w:name="treatment-rules-by-item-class"/>
    <w:p>
      <w:pPr>
        <w:pStyle w:val="Heading2"/>
      </w:pPr>
      <w:r>
        <w:t xml:space="preserve">Treatment rules by item class</w:t>
      </w:r>
    </w:p>
    <w:p>
      <w:pPr>
        <w:pStyle w:val="FirstParagraph"/>
      </w:pPr>
      <w:r>
        <w:t xml:space="preserve">Each class has one treatment. The Controller may override a classification with documented reasons, never the treatment.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How it is identified</w:t>
            </w:r>
          </w:p>
        </w:tc>
        <w:tc>
          <w:tcPr/>
          <w:p>
            <w:pPr>
              <w:pStyle w:val="Compact"/>
              <w:jc w:val="left"/>
            </w:pPr>
            <w:r>
              <w:t xml:space="preserve">Treatment</w:t>
            </w:r>
          </w:p>
        </w:tc>
      </w:tr>
      <w:tr>
        <w:tc>
          <w:tcPr/>
          <w:p>
            <w:pPr>
              <w:pStyle w:val="Compact"/>
              <w:jc w:val="left"/>
            </w:pPr>
            <w:r>
              <w:t xml:space="preserve">Fee check</w:t>
            </w:r>
          </w:p>
        </w:tc>
        <w:tc>
          <w:tcPr/>
          <w:p>
            <w:pPr>
              <w:pStyle w:val="Compact"/>
              <w:jc w:val="left"/>
            </w:pPr>
            <w:r>
              <w:t xml:space="preserve">Amount matches an office fee amount exactly ($644, $1,044, $69, $595, $995, $49 and the office-specific lists)</w:t>
            </w:r>
          </w:p>
        </w:tc>
        <w:tc>
          <w:tcPr/>
          <w:p>
            <w:pPr>
              <w:pStyle w:val="Compact"/>
              <w:jc w:val="left"/>
            </w:pPr>
            <w:r>
              <w:t xml:space="preserve">Company revenue. Book to transaction fee or E&amp;O revenue. Not unclaimed property.</w:t>
            </w:r>
          </w:p>
        </w:tc>
      </w:tr>
      <w:tr>
        <w:tc>
          <w:tcPr/>
          <w:p>
            <w:pPr>
              <w:pStyle w:val="Compact"/>
              <w:jc w:val="left"/>
            </w:pPr>
            <w:r>
              <w:t xml:space="preserve">Small amount</w:t>
            </w:r>
          </w:p>
        </w:tc>
        <w:tc>
          <w:tcPr/>
          <w:p>
            <w:pPr>
              <w:pStyle w:val="Compact"/>
              <w:jc w:val="left"/>
            </w:pPr>
            <w:r>
              <w:t xml:space="preserve">At or under $250 and not an exact fee amount</w:t>
            </w:r>
          </w:p>
        </w:tc>
        <w:tc>
          <w:tcPr/>
          <w:p>
            <w:pPr>
              <w:pStyle w:val="Compact"/>
              <w:jc w:val="left"/>
            </w:pPr>
            <w:r>
              <w:t xml:space="preserve">Presumed fee; review the memo. Book to revenue once confirmed, otherwise treat as a commission check.</w:t>
            </w:r>
          </w:p>
        </w:tc>
      </w:tr>
      <w:tr>
        <w:tc>
          <w:tcPr/>
          <w:p>
            <w:pPr>
              <w:pStyle w:val="Compact"/>
              <w:jc w:val="left"/>
            </w:pPr>
            <w:r>
              <w:t xml:space="preserve">Memo-flagged</w:t>
            </w:r>
          </w:p>
        </w:tc>
        <w:tc>
          <w:tcPr/>
          <w:p>
            <w:pPr>
              <w:pStyle w:val="Compact"/>
              <w:jc w:val="left"/>
            </w:pPr>
            <w:r>
              <w:t xml:space="preserve">Memo says not ours, unknown property or agent, duplicate, or hold</w:t>
            </w:r>
          </w:p>
        </w:tc>
        <w:tc>
          <w:tcPr/>
          <w:p>
            <w:pPr>
              <w:pStyle w:val="Compact"/>
              <w:jc w:val="left"/>
            </w:pPr>
            <w:r>
              <w:t xml:space="preserve">Owed back to the payer. Refund it. If the payer cannot be identified, the amount is reportable to the formation state with the payer as owner.</w:t>
            </w:r>
          </w:p>
        </w:tc>
      </w:tr>
      <w:tr>
        <w:tc>
          <w:tcPr/>
          <w:p>
            <w:pPr>
              <w:pStyle w:val="Compact"/>
              <w:jc w:val="left"/>
            </w:pPr>
            <w:r>
              <w:t xml:space="preserve">Larger commission check</w:t>
            </w:r>
          </w:p>
        </w:tc>
        <w:tc>
          <w:tcPr/>
          <w:p>
            <w:pPr>
              <w:pStyle w:val="Compact"/>
              <w:jc w:val="left"/>
            </w:pPr>
            <w:r>
              <w:t xml:space="preserve">Everything else above $250</w:t>
            </w:r>
          </w:p>
        </w:tc>
        <w:tc>
          <w:tcPr/>
          <w:p>
            <w:pPr>
              <w:pStyle w:val="Compact"/>
              <w:jc w:val="left"/>
            </w:pPr>
            <w:r>
              <w:t xml:space="preserve">Company fee is revenue; the remainder is the agent’s and is reportable if unpaid past dormancy.</w:t>
            </w:r>
          </w:p>
        </w:tc>
      </w:tr>
      <w:tr>
        <w:tc>
          <w:tcPr/>
          <w:p>
            <w:pPr>
              <w:pStyle w:val="Compact"/>
              <w:jc w:val="left"/>
            </w:pPr>
            <w:r>
              <w:t xml:space="preserve">Legal hold</w:t>
            </w:r>
          </w:p>
        </w:tc>
        <w:tc>
          <w:tcPr/>
          <w:p>
            <w:pPr>
              <w:pStyle w:val="Compact"/>
              <w:jc w:val="left"/>
            </w:pPr>
            <w:r>
              <w:t xml:space="preserve">Memo cites law enforcement, litigation or a dispute</w:t>
            </w:r>
          </w:p>
        </w:tc>
        <w:tc>
          <w:tcPr/>
          <w:p>
            <w:pPr>
              <w:pStyle w:val="Compact"/>
              <w:jc w:val="left"/>
            </w:pPr>
            <w:r>
              <w:t xml:space="preserve">Segregate. No payment, refund or escheat without counsel.</w:t>
            </w:r>
          </w:p>
        </w:tc>
      </w:tr>
    </w:tbl>
    <w:p>
      <w:pPr>
        <w:pStyle w:val="BodyText"/>
      </w:pPr>
      <w:r>
        <w:rPr>
          <w:bCs/>
          <w:b/>
        </w:rPr>
        <w:t xml:space="preserve">Estimating the agent share when the paperwork is missing.</w:t>
      </w:r>
      <w:r>
        <w:t xml:space="preserve"> </w:t>
      </w:r>
      <w:r>
        <w:t xml:space="preserve">The company’s share of a commission check is fixed by contract, so the agent’s share can be estimated as the check less the standard fee for that office and period. Use the lower fee tier when the sale price is unknown ($595 plus $49 E&amp;O under the current schedule; $495 plus $49 for items before the schedule change), which leaves the larger and more conservative agent share. For TUR items on a split plan, apply the plan percentage from the Disbursement Authorization if known, otherwise the 70/30 mentorship split. Record the method on the item. States accept reasonable estimation where records do not exist, and this method is defensible because it is derived from the agreements themselves.</w:t>
      </w:r>
    </w:p>
    <w:p>
      <w:pPr>
        <w:pStyle w:val="BodyText"/>
      </w:pPr>
      <w:r>
        <w:rPr>
          <w:bCs/>
          <w:b/>
        </w:rPr>
        <w:t xml:space="preserve">Offsets.</w:t>
      </w:r>
      <w:r>
        <w:t xml:space="preserve"> </w:t>
      </w:r>
      <w:r>
        <w:t xml:space="preserve">Amounts an agent owes the company (dues, fees, E&amp;O deductibles, indemnity) may be deducted from the agent’s share under every agreement, provided the amount owed is documented at the time of offset. Attach the support to the item.</w:t>
      </w:r>
    </w:p>
    <w:p>
      <w:pPr>
        <w:pStyle w:val="BodyText"/>
      </w:pPr>
      <w:r>
        <w:rPr>
          <w:bCs/>
          <w:b/>
        </w:rPr>
        <w:t xml:space="preserve">Forfeitures.</w:t>
      </w:r>
      <w:r>
        <w:t xml:space="preserve"> </w:t>
      </w:r>
      <w:r>
        <w:t xml:space="preserve">The Philly agreement forfeits the agent’s share on files still incomplete 60 days after closing and retains 100% where a lapsed license is not reactivated within 30 days; the TUR agreement forfeits accrued commissions on certain breaches. These are not applied without written confirmation from counsel that the governing state will honor them, and without the triggering facts documented per item.</w:t>
      </w:r>
    </w:p>
    <w:bookmarkEnd w:id="26"/>
    <w:bookmarkStart w:id="27" w:name="X681cd6a90ae37657b085c5e8b8e7eeea4e4a336"/>
    <w:p>
      <w:pPr>
        <w:pStyle w:val="Heading2"/>
      </w:pPr>
      <w:r>
        <w:t xml:space="preserve">Due diligence letters and the annual reporting calendar</w:t>
      </w:r>
    </w:p>
    <w:p>
      <w:pPr>
        <w:pStyle w:val="FirstParagraph"/>
      </w:pPr>
      <w:r>
        <w:t xml:space="preserve">A due-diligence letter goes to every owner with a usable address before any amount is remitted, and a response lets the company pay the owner directly instead of the state. Letters are sent by first-class mail to the last-known address, state the amount and that it will be delivered to the state if unclaimed, and are logged with the date sent and any response.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Report cutoff</w:t>
            </w:r>
          </w:p>
        </w:tc>
        <w:tc>
          <w:tcPr/>
          <w:p>
            <w:pPr>
              <w:pStyle w:val="Compact"/>
              <w:jc w:val="left"/>
            </w:pPr>
            <w:r>
              <w:t xml:space="preserve">Report and remittance due</w:t>
            </w:r>
          </w:p>
        </w:tc>
        <w:tc>
          <w:tcPr/>
          <w:p>
            <w:pPr>
              <w:pStyle w:val="Compact"/>
              <w:jc w:val="left"/>
            </w:pPr>
            <w:r>
              <w:t xml:space="preserve">Due-diligence rule</w:t>
            </w:r>
          </w:p>
        </w:tc>
        <w:tc>
          <w:tcPr/>
          <w:p>
            <w:pPr>
              <w:pStyle w:val="Compact"/>
              <w:jc w:val="left"/>
            </w:pPr>
            <w:r>
              <w:t xml:space="preserve">Governs</w:t>
            </w:r>
          </w:p>
        </w:tc>
      </w:tr>
      <w:tr>
        <w:tc>
          <w:tcPr/>
          <w:p>
            <w:pPr>
              <w:pStyle w:val="Compact"/>
              <w:jc w:val="left"/>
            </w:pPr>
            <w:r>
              <w:t xml:space="preserve">Texas</w:t>
            </w:r>
          </w:p>
        </w:tc>
        <w:tc>
          <w:tcPr/>
          <w:p>
            <w:pPr>
              <w:pStyle w:val="Compact"/>
              <w:jc w:val="left"/>
            </w:pPr>
            <w:r>
              <w:t xml:space="preserve">March 1</w:t>
            </w:r>
          </w:p>
        </w:tc>
        <w:tc>
          <w:tcPr/>
          <w:p>
            <w:pPr>
              <w:pStyle w:val="Compact"/>
              <w:jc w:val="left"/>
            </w:pPr>
            <w:r>
              <w:t xml:space="preserve">July 1</w:t>
            </w:r>
          </w:p>
        </w:tc>
        <w:tc>
          <w:tcPr/>
          <w:p>
            <w:pPr>
              <w:pStyle w:val="Compact"/>
              <w:jc w:val="left"/>
            </w:pPr>
            <w:r>
              <w:t xml:space="preserve">Notice at least 60 days before delivery for property over $250 (Prop. Code 74.1011)</w:t>
            </w:r>
          </w:p>
        </w:tc>
        <w:tc>
          <w:tcPr/>
          <w:p>
            <w:pPr>
              <w:pStyle w:val="Compact"/>
              <w:jc w:val="left"/>
            </w:pPr>
            <w:r>
              <w:t xml:space="preserve">Dallas, Houston, TUR, and unknown-agent items at Chicago, Philly and DC</w:t>
            </w:r>
          </w:p>
        </w:tc>
      </w:tr>
      <w:tr>
        <w:tc>
          <w:tcPr/>
          <w:p>
            <w:pPr>
              <w:pStyle w:val="Compact"/>
              <w:jc w:val="left"/>
            </w:pPr>
            <w:r>
              <w:t xml:space="preserve">Florida</w:t>
            </w:r>
          </w:p>
        </w:tc>
        <w:tc>
          <w:tcPr/>
          <w:p>
            <w:pPr>
              <w:pStyle w:val="Compact"/>
              <w:jc w:val="left"/>
            </w:pPr>
            <w:r>
              <w:t xml:space="preserve">December 31</w:t>
            </w:r>
          </w:p>
        </w:tc>
        <w:tc>
          <w:tcPr/>
          <w:p>
            <w:pPr>
              <w:pStyle w:val="Compact"/>
              <w:jc w:val="left"/>
            </w:pPr>
            <w:r>
              <w:t xml:space="preserve">Before May 1</w:t>
            </w:r>
          </w:p>
        </w:tc>
        <w:tc>
          <w:tcPr/>
          <w:p>
            <w:pPr>
              <w:pStyle w:val="Compact"/>
              <w:jc w:val="left"/>
            </w:pPr>
            <w:r>
              <w:t xml:space="preserve">Owners of $50 or more listed on the report; notice rule in Fla. Stat. 717.117</w:t>
            </w:r>
          </w:p>
        </w:tc>
        <w:tc>
          <w:tcPr/>
          <w:p>
            <w:pPr>
              <w:pStyle w:val="Compact"/>
              <w:jc w:val="left"/>
            </w:pPr>
            <w:r>
              <w:t xml:space="preserve">Gallery</w:t>
            </w:r>
          </w:p>
        </w:tc>
      </w:tr>
      <w:tr>
        <w:tc>
          <w:tcPr/>
          <w:p>
            <w:pPr>
              <w:pStyle w:val="Compact"/>
              <w:jc w:val="left"/>
            </w:pPr>
            <w:r>
              <w:t xml:space="preserve">Alabama</w:t>
            </w:r>
          </w:p>
        </w:tc>
        <w:tc>
          <w:tcPr/>
          <w:p>
            <w:pPr>
              <w:pStyle w:val="Compact"/>
              <w:jc w:val="left"/>
            </w:pPr>
            <w:r>
              <w:t xml:space="preserve">June 30</w:t>
            </w:r>
          </w:p>
        </w:tc>
        <w:tc>
          <w:tcPr/>
          <w:p>
            <w:pPr>
              <w:pStyle w:val="Compact"/>
              <w:jc w:val="left"/>
            </w:pPr>
            <w:r>
              <w:t xml:space="preserve">November 1</w:t>
            </w:r>
          </w:p>
        </w:tc>
        <w:tc>
          <w:tcPr/>
          <w:p>
            <w:pPr>
              <w:pStyle w:val="Compact"/>
              <w:jc w:val="left"/>
            </w:pPr>
            <w:r>
              <w:t xml:space="preserve">$50 threshold per secondary sources</w:t>
            </w:r>
          </w:p>
        </w:tc>
        <w:tc>
          <w:tcPr/>
          <w:p>
            <w:pPr>
              <w:pStyle w:val="Compact"/>
              <w:jc w:val="left"/>
            </w:pPr>
            <w:r>
              <w:t xml:space="preserve">Leading Edge</w:t>
            </w:r>
          </w:p>
        </w:tc>
      </w:tr>
      <w:tr>
        <w:tc>
          <w:tcPr/>
          <w:p>
            <w:pPr>
              <w:pStyle w:val="Compact"/>
              <w:jc w:val="left"/>
            </w:pPr>
            <w:r>
              <w:t xml:space="preserve">Pennsylvania</w:t>
            </w:r>
          </w:p>
        </w:tc>
        <w:tc>
          <w:tcPr/>
          <w:p>
            <w:pPr>
              <w:pStyle w:val="Compact"/>
              <w:jc w:val="left"/>
            </w:pPr>
            <w:r>
              <w:t xml:space="preserve">December 31</w:t>
            </w:r>
          </w:p>
        </w:tc>
        <w:tc>
          <w:tcPr/>
          <w:p>
            <w:pPr>
              <w:pStyle w:val="Compact"/>
              <w:jc w:val="left"/>
            </w:pPr>
            <w:r>
              <w:t xml:space="preserve">April 15</w:t>
            </w:r>
          </w:p>
        </w:tc>
        <w:tc>
          <w:tcPr/>
          <w:p>
            <w:pPr>
              <w:pStyle w:val="Compact"/>
              <w:jc w:val="left"/>
            </w:pPr>
            <w:r>
              <w:t xml:space="preserve">Notice 60 to 120 days before the deadline for $50 or more</w:t>
            </w:r>
          </w:p>
        </w:tc>
        <w:tc>
          <w:tcPr/>
          <w:p>
            <w:pPr>
              <w:pStyle w:val="Compact"/>
              <w:jc w:val="left"/>
            </w:pPr>
            <w:r>
              <w:t xml:space="preserve">Philly items with a PA agent address</w:t>
            </w:r>
          </w:p>
        </w:tc>
      </w:tr>
      <w:tr>
        <w:tc>
          <w:tcPr/>
          <w:p>
            <w:pPr>
              <w:pStyle w:val="Compact"/>
              <w:jc w:val="left"/>
            </w:pPr>
            <w:r>
              <w:t xml:space="preserve">Illinois</w:t>
            </w:r>
          </w:p>
        </w:tc>
        <w:tc>
          <w:tcPr/>
          <w:p>
            <w:pPr>
              <w:pStyle w:val="Compact"/>
              <w:jc w:val="left"/>
            </w:pPr>
            <w:r>
              <w:t xml:space="preserve">June 30 for financial and government holders; business-holder cutoff not confirmed</w:t>
            </w:r>
          </w:p>
        </w:tc>
        <w:tc>
          <w:tcPr/>
          <w:p>
            <w:pPr>
              <w:pStyle w:val="Compact"/>
              <w:jc w:val="left"/>
            </w:pPr>
            <w:r>
              <w:t xml:space="preserve">November 1 for those holders</w:t>
            </w:r>
          </w:p>
        </w:tc>
        <w:tc>
          <w:tcPr/>
          <w:p>
            <w:pPr>
              <w:pStyle w:val="Compact"/>
              <w:jc w:val="left"/>
            </w:pPr>
            <w:r>
              <w:t xml:space="preserve">Letter 60 to 365 days before the report for property over $50</w:t>
            </w:r>
          </w:p>
        </w:tc>
        <w:tc>
          <w:tcPr/>
          <w:p>
            <w:pPr>
              <w:pStyle w:val="Compact"/>
              <w:jc w:val="left"/>
            </w:pPr>
            <w:r>
              <w:t xml:space="preserve">Chicago items with an IL agent address</w:t>
            </w:r>
          </w:p>
        </w:tc>
      </w:tr>
    </w:tbl>
    <w:p>
      <w:pPr>
        <w:pStyle w:val="BodyText"/>
      </w:pPr>
      <w:r>
        <w:t xml:space="preserve">For Texas, the practical sequence each year is: quarterly review at December 31 identifies items that will be dormant on March 1; letters go out in March; the report is filed and funds remitted by July 1. For Florida and Pennsylvania the December 31 review feeds letters in January or February and filings in April. Alabama’s June 30 cutoff is fed by the June quarterly review.</w:t>
      </w:r>
    </w:p>
    <w:bookmarkEnd w:id="27"/>
    <w:bookmarkStart w:id="28" w:name="accounting-treatment"/>
    <w:p>
      <w:pPr>
        <w:pStyle w:val="Heading2"/>
      </w:pPr>
      <w:r>
        <w:t xml:space="preserve">Accounting treatment</w:t>
      </w:r>
    </w:p>
    <w:p>
      <w:pPr>
        <w:pStyle w:val="FirstParagraph"/>
      </w:pPr>
      <w:r>
        <w:t xml:space="preserve">The accrued commission balance should be carried as a liability until each item is resolved, and resolved items leave it through one of four entries. Account numbers below follow the commission bank rec convention (deposits to commission receivable 120001, accrual 260000, commissions payable 221000, AP 220000); confirm them against the chart of accounts before use.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Debit</w:t>
            </w:r>
          </w:p>
        </w:tc>
        <w:tc>
          <w:tcPr/>
          <w:p>
            <w:pPr>
              <w:pStyle w:val="Compact"/>
              <w:jc w:val="left"/>
            </w:pPr>
            <w:r>
              <w:t xml:space="preserve">Credit</w:t>
            </w:r>
          </w:p>
        </w:tc>
        <w:tc>
          <w:tcPr/>
          <w:p>
            <w:pPr>
              <w:pStyle w:val="Compact"/>
              <w:jc w:val="left"/>
            </w:pPr>
            <w:r>
              <w:t xml:space="preserve">Note</w:t>
            </w:r>
          </w:p>
        </w:tc>
      </w:tr>
      <w:tr>
        <w:tc>
          <w:tcPr/>
          <w:p>
            <w:pPr>
              <w:pStyle w:val="Compact"/>
              <w:jc w:val="left"/>
            </w:pPr>
            <w:r>
              <w:t xml:space="preserve">Deposit received, unmatched</w:t>
            </w:r>
          </w:p>
        </w:tc>
        <w:tc>
          <w:tcPr/>
          <w:p>
            <w:pPr>
              <w:pStyle w:val="Compact"/>
              <w:jc w:val="left"/>
            </w:pPr>
            <w:r>
              <w:t xml:space="preserve">Cash</w:t>
            </w:r>
          </w:p>
        </w:tc>
        <w:tc>
          <w:tcPr/>
          <w:p>
            <w:pPr>
              <w:pStyle w:val="Compact"/>
              <w:jc w:val="left"/>
            </w:pPr>
            <w:r>
              <w:t xml:space="preserve">Accrued commissions (260000)</w:t>
            </w:r>
          </w:p>
        </w:tc>
        <w:tc>
          <w:tcPr/>
          <w:p>
            <w:pPr>
              <w:pStyle w:val="Compact"/>
              <w:jc w:val="left"/>
            </w:pPr>
            <w:r>
              <w:t xml:space="preserve">Already how the cash tabs work</w:t>
            </w:r>
          </w:p>
        </w:tc>
      </w:tr>
      <w:tr>
        <w:tc>
          <w:tcPr/>
          <w:p>
            <w:pPr>
              <w:pStyle w:val="Compact"/>
              <w:jc w:val="left"/>
            </w:pPr>
            <w:r>
              <w:t xml:space="preserve">Fee check matched</w:t>
            </w:r>
          </w:p>
        </w:tc>
        <w:tc>
          <w:tcPr/>
          <w:p>
            <w:pPr>
              <w:pStyle w:val="Compact"/>
              <w:jc w:val="left"/>
            </w:pPr>
            <w:r>
              <w:t xml:space="preserve">Accrued commissions</w:t>
            </w:r>
          </w:p>
        </w:tc>
        <w:tc>
          <w:tcPr/>
          <w:p>
            <w:pPr>
              <w:pStyle w:val="Compact"/>
              <w:jc w:val="left"/>
            </w:pPr>
            <w:r>
              <w:t xml:space="preserve">Transaction fee revenue / E&amp;O revenue</w:t>
            </w:r>
          </w:p>
        </w:tc>
        <w:tc>
          <w:tcPr/>
          <w:p>
            <w:pPr>
              <w:pStyle w:val="Compact"/>
              <w:jc w:val="left"/>
            </w:pPr>
            <w:r>
              <w:t xml:space="preserve">Company’s money</w:t>
            </w:r>
          </w:p>
        </w:tc>
      </w:tr>
      <w:tr>
        <w:tc>
          <w:tcPr/>
          <w:p>
            <w:pPr>
              <w:pStyle w:val="Compact"/>
              <w:jc w:val="left"/>
            </w:pPr>
            <w:r>
              <w:t xml:space="preserve">Commission check matched, agent paid</w:t>
            </w:r>
          </w:p>
        </w:tc>
        <w:tc>
          <w:tcPr/>
          <w:p>
            <w:pPr>
              <w:pStyle w:val="Compact"/>
              <w:jc w:val="left"/>
            </w:pPr>
            <w:r>
              <w:t xml:space="preserve">Accrued commissions</w:t>
            </w:r>
          </w:p>
        </w:tc>
        <w:tc>
          <w:tcPr/>
          <w:p>
            <w:pPr>
              <w:pStyle w:val="Compact"/>
              <w:jc w:val="left"/>
            </w:pPr>
            <w:r>
              <w:t xml:space="preserve">Revenue (company fee) and Commissions payable (221000), then Cash when paid</w:t>
            </w:r>
          </w:p>
        </w:tc>
        <w:tc>
          <w:tcPr/>
          <w:p>
            <w:pPr>
              <w:pStyle w:val="Compact"/>
              <w:jc w:val="left"/>
            </w:pPr>
            <w:r>
              <w:t xml:space="preserve">Split per the file or the estimation rule</w:t>
            </w:r>
          </w:p>
        </w:tc>
      </w:tr>
      <w:tr>
        <w:tc>
          <w:tcPr/>
          <w:p>
            <w:pPr>
              <w:pStyle w:val="Compact"/>
              <w:jc w:val="left"/>
            </w:pPr>
            <w:r>
              <w:t xml:space="preserve">Refund to payer</w:t>
            </w:r>
          </w:p>
        </w:tc>
        <w:tc>
          <w:tcPr/>
          <w:p>
            <w:pPr>
              <w:pStyle w:val="Compact"/>
              <w:jc w:val="left"/>
            </w:pPr>
            <w:r>
              <w:t xml:space="preserve">Accrued commissions</w:t>
            </w:r>
          </w:p>
        </w:tc>
        <w:tc>
          <w:tcPr/>
          <w:p>
            <w:pPr>
              <w:pStyle w:val="Compact"/>
              <w:jc w:val="left"/>
            </w:pPr>
            <w:r>
              <w:t xml:space="preserve">Cash</w:t>
            </w:r>
          </w:p>
        </w:tc>
        <w:tc>
          <w:tcPr/>
          <w:p>
            <w:pPr>
              <w:pStyle w:val="Compact"/>
              <w:jc w:val="left"/>
            </w:pPr>
            <w:r>
              <w:t xml:space="preserve">Attach the refund support</w:t>
            </w:r>
          </w:p>
        </w:tc>
      </w:tr>
      <w:tr>
        <w:tc>
          <w:tcPr/>
          <w:p>
            <w:pPr>
              <w:pStyle w:val="Compact"/>
              <w:jc w:val="left"/>
            </w:pPr>
            <w:r>
              <w:t xml:space="preserve">Remittance to a state</w:t>
            </w:r>
          </w:p>
        </w:tc>
        <w:tc>
          <w:tcPr/>
          <w:p>
            <w:pPr>
              <w:pStyle w:val="Compact"/>
              <w:jc w:val="left"/>
            </w:pPr>
            <w:r>
              <w:t xml:space="preserve">Commissions payable (or accrued commissions)</w:t>
            </w:r>
          </w:p>
        </w:tc>
        <w:tc>
          <w:tcPr/>
          <w:p>
            <w:pPr>
              <w:pStyle w:val="Compact"/>
              <w:jc w:val="left"/>
            </w:pPr>
            <w:r>
              <w:t xml:space="preserve">Cash</w:t>
            </w:r>
          </w:p>
        </w:tc>
        <w:tc>
          <w:tcPr/>
          <w:p>
            <w:pPr>
              <w:pStyle w:val="Compact"/>
              <w:jc w:val="left"/>
            </w:pPr>
            <w:r>
              <w:t xml:space="preserve">One entry per state report; attach the report</w:t>
            </w:r>
          </w:p>
        </w:tc>
      </w:tr>
      <w:tr>
        <w:tc>
          <w:tcPr/>
          <w:p>
            <w:pPr>
              <w:pStyle w:val="Compact"/>
              <w:jc w:val="left"/>
            </w:pPr>
            <w:r>
              <w:t xml:space="preserve">Retention under a forfeiture or offset confirmed by counsel</w:t>
            </w:r>
          </w:p>
        </w:tc>
        <w:tc>
          <w:tcPr/>
          <w:p>
            <w:pPr>
              <w:pStyle w:val="Compact"/>
              <w:jc w:val="left"/>
            </w:pPr>
            <w:r>
              <w:t xml:space="preserve">Accrued commissions</w:t>
            </w:r>
          </w:p>
        </w:tc>
        <w:tc>
          <w:tcPr/>
          <w:p>
            <w:pPr>
              <w:pStyle w:val="Compact"/>
              <w:jc w:val="left"/>
            </w:pPr>
            <w:r>
              <w:t xml:space="preserve">Revenue</w:t>
            </w:r>
          </w:p>
        </w:tc>
        <w:tc>
          <w:tcPr/>
          <w:p>
            <w:pPr>
              <w:pStyle w:val="Compact"/>
              <w:jc w:val="left"/>
            </w:pPr>
            <w:r>
              <w:t xml:space="preserve">Only with the counsel memo and item support attached</w:t>
            </w:r>
          </w:p>
        </w:tc>
      </w:tr>
    </w:tbl>
    <w:p>
      <w:pPr>
        <w:pStyle w:val="BodyText"/>
      </w:pPr>
      <w:r>
        <w:t xml:space="preserve">Two things never happen: an aged item is not written off to revenue because the owner is unknown, and an estimated agent share is not reversed into income because no claim arrived. Reserve the estimated agent share in commissions payable until it is paid or remitted.</w:t>
      </w:r>
    </w:p>
    <w:bookmarkEnd w:id="28"/>
    <w:bookmarkStart w:id="29" w:name="records-retention"/>
    <w:p>
      <w:pPr>
        <w:pStyle w:val="Heading2"/>
      </w:pPr>
      <w:r>
        <w:t xml:space="preserve">Records retention</w:t>
      </w:r>
    </w:p>
    <w:p>
      <w:pPr>
        <w:pStyle w:val="FirstParagraph"/>
      </w:pPr>
      <w:r>
        <w:t xml:space="preserve">Keep every record that supports an item for ten years after the report that includes it, or ten years after resolution if it was never reported. That is longer than TUR’s four-year policy and longer than the normal transaction file retention, because unclaimed property audits reach back ten years or more and an undocumented item is treated as reportable in full.</w:t>
      </w:r>
    </w:p>
    <w:p>
      <w:pPr>
        <w:pStyle w:val="BodyText"/>
      </w:pPr>
      <w:r>
        <w:t xml:space="preserve">For each item, retain: the deposit record and check image, the Paperless Pipeline file or Disbursement Authorization, the Closing Disclosure, the agent’s Independent Contractor Agreement and Agent Information sheet, the due-diligence letter and any response, the refund or payment record, the state report and remittance confirmation, and any counsel memo supporting an offset or retention. The quarterly memos and each quarter’s workbook are kept for the same period.</w:t>
      </w:r>
    </w:p>
    <w:bookmarkEnd w:id="29"/>
    <w:bookmarkStart w:id="30" w:name="X7bbf7600dd8f28c55e756d27e84f81524e1eab1"/>
    <w:p>
      <w:pPr>
        <w:pStyle w:val="Heading2"/>
      </w:pPr>
      <w:r>
        <w:t xml:space="preserve">One-time remediation of the existing backlog</w:t>
      </w:r>
    </w:p>
    <w:p>
      <w:pPr>
        <w:pStyle w:val="FirstParagraph"/>
      </w:pPr>
      <w:r>
        <w:t xml:space="preserve">The 181 aged items are worked once, oldest first, before the recurring cadence takes over. The sequence is designed so that the easy money leaves the list first and the legal questions reach counsel with facts attached.</w:t>
      </w:r>
    </w:p>
    <w:p>
      <w:pPr>
        <w:numPr>
          <w:ilvl w:val="0"/>
          <w:numId w:val="1005"/>
        </w:numPr>
        <w:pStyle w:val="Compact"/>
      </w:pPr>
      <w:r>
        <w:rPr>
          <w:bCs/>
          <w:b/>
        </w:rPr>
        <w:t xml:space="preserve">Book the fee checks.</w:t>
      </w:r>
      <w:r>
        <w:t xml:space="preserve"> </w:t>
      </w:r>
      <w:r>
        <w:t xml:space="preserve">48 items, 20,825.00, are exact fee amounts. Book them to revenue now. Review the 15 small items (2,058.33) and book those confirmed as fees.</w:t>
      </w:r>
    </w:p>
    <w:p>
      <w:pPr>
        <w:numPr>
          <w:ilvl w:val="0"/>
          <w:numId w:val="1005"/>
        </w:numPr>
        <w:pStyle w:val="Compact"/>
      </w:pPr>
      <w:r>
        <w:rPr>
          <w:bCs/>
          <w:b/>
        </w:rPr>
        <w:t xml:space="preserve">Refund the memo-flagged items.</w:t>
      </w:r>
      <w:r>
        <w:t xml:space="preserve"> </w:t>
      </w:r>
      <w:r>
        <w:t xml:space="preserve">16 items, 30,640.63, carry memos saying the check is not ours or the agent is unknown. Contact each payer, confirm, and refund. Houston’s 1,500.00 law-enforcement hold stays segregated.</w:t>
      </w:r>
    </w:p>
    <w:p>
      <w:pPr>
        <w:numPr>
          <w:ilvl w:val="0"/>
          <w:numId w:val="1005"/>
        </w:numPr>
        <w:pStyle w:val="Compact"/>
      </w:pPr>
      <w:r>
        <w:rPr>
          <w:bCs/>
          <w:b/>
        </w:rPr>
        <w:t xml:space="preserve">Research the larger items, oldest first.</w:t>
      </w:r>
      <w:r>
        <w:t xml:space="preserve"> </w:t>
      </w:r>
      <w:r>
        <w:t xml:space="preserve">102 items, 173,240.50. Start with Houston’s four 2022 checks and every 2023 item. For each: identify the agent from Paperless Pipeline or the payer, record the address state, enter the documented or estimated split.</w:t>
      </w:r>
    </w:p>
    <w:p>
      <w:pPr>
        <w:numPr>
          <w:ilvl w:val="0"/>
          <w:numId w:val="1005"/>
        </w:numPr>
        <w:pStyle w:val="Compact"/>
      </w:pPr>
      <w:r>
        <w:rPr>
          <w:bCs/>
          <w:b/>
        </w:rPr>
        <w:t xml:space="preserve">Pay the agents you find.</w:t>
      </w:r>
      <w:r>
        <w:t xml:space="preserve"> </w:t>
      </w:r>
      <w:r>
        <w:t xml:space="preserve">An agent paid is an item closed. Letters first where the agent has left.</w:t>
      </w:r>
    </w:p>
    <w:p>
      <w:pPr>
        <w:numPr>
          <w:ilvl w:val="0"/>
          <w:numId w:val="1005"/>
        </w:numPr>
        <w:pStyle w:val="Compact"/>
      </w:pPr>
      <w:r>
        <w:rPr>
          <w:bCs/>
          <w:b/>
        </w:rPr>
        <w:t xml:space="preserve">Take the open questions to counsel in one package.</w:t>
      </w:r>
      <w:r>
        <w:t xml:space="preserve"> </w:t>
      </w:r>
      <w:r>
        <w:t xml:space="preserve">Confirm the Texas 3-year position for contractor commissions, the formation-state default for Chicago and Philly, treatment of the Philly 60-day forfeiture and the offset clauses, and whether a Texas VDA should be filed for the five Texas entities together.</w:t>
      </w:r>
    </w:p>
    <w:p>
      <w:pPr>
        <w:numPr>
          <w:ilvl w:val="0"/>
          <w:numId w:val="1005"/>
        </w:numPr>
        <w:pStyle w:val="Compact"/>
      </w:pPr>
      <w:r>
        <w:rPr>
          <w:bCs/>
          <w:b/>
        </w:rPr>
        <w:t xml:space="preserve">File.</w:t>
      </w:r>
      <w:r>
        <w:t xml:space="preserve"> </w:t>
      </w:r>
      <w:r>
        <w:t xml:space="preserve">Report and remit the dormant remainder on each state’s next cycle (Texas by July 1, 2027 for items dormant at March 1, 2027), through a VDA where counsel recommends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 for CFO and counsel</w:t>
            </w:r>
          </w:p>
        </w:tc>
        <w:tc>
          <w:tcPr/>
          <w:p>
            <w:pPr>
              <w:pStyle w:val="Compact"/>
              <w:jc w:val="left"/>
            </w:pPr>
            <w:r>
              <w:t xml:space="preserve">Options</w:t>
            </w:r>
          </w:p>
        </w:tc>
        <w:tc>
          <w:tcPr/>
          <w:p>
            <w:pPr>
              <w:pStyle w:val="Compact"/>
              <w:jc w:val="left"/>
            </w:pPr>
            <w:r>
              <w:t xml:space="preserve">Effect</w:t>
            </w:r>
          </w:p>
        </w:tc>
      </w:tr>
      <w:tr>
        <w:tc>
          <w:tcPr/>
          <w:p>
            <w:pPr>
              <w:pStyle w:val="Compact"/>
              <w:jc w:val="left"/>
            </w:pPr>
            <w:r>
              <w:t xml:space="preserve">Texas period for contractor commissions</w:t>
            </w:r>
          </w:p>
        </w:tc>
        <w:tc>
          <w:tcPr/>
          <w:p>
            <w:pPr>
              <w:pStyle w:val="Compact"/>
              <w:jc w:val="left"/>
            </w:pPr>
            <w:r>
              <w:t xml:space="preserve">3-year general (likely) or 1-year wage</w:t>
            </w:r>
          </w:p>
        </w:tc>
        <w:tc>
          <w:tcPr/>
          <w:p>
            <w:pPr>
              <w:pStyle w:val="Compact"/>
              <w:jc w:val="left"/>
            </w:pPr>
            <w:r>
              <w:t xml:space="preserve">Texas dormant today: 13,407.75 at most under 3 years; far higher under 1 year</w:t>
            </w:r>
          </w:p>
        </w:tc>
      </w:tr>
      <w:tr>
        <w:tc>
          <w:tcPr/>
          <w:p>
            <w:pPr>
              <w:pStyle w:val="Compact"/>
              <w:jc w:val="left"/>
            </w:pPr>
            <w:r>
              <w:t xml:space="preserve">Philly forfeiture clause</w:t>
            </w:r>
          </w:p>
        </w:tc>
        <w:tc>
          <w:tcPr/>
          <w:p>
            <w:pPr>
              <w:pStyle w:val="Compact"/>
              <w:jc w:val="left"/>
            </w:pPr>
            <w:r>
              <w:t xml:space="preserve">Apply with documentation, or disregard</w:t>
            </w:r>
          </w:p>
        </w:tc>
        <w:tc>
          <w:tcPr/>
          <w:p>
            <w:pPr>
              <w:pStyle w:val="Compact"/>
              <w:jc w:val="left"/>
            </w:pPr>
            <w:r>
              <w:t xml:space="preserve">Could move most of Philly’s aged commission items from reportable to retained</w:t>
            </w:r>
          </w:p>
        </w:tc>
      </w:tr>
      <w:tr>
        <w:tc>
          <w:tcPr/>
          <w:p>
            <w:pPr>
              <w:pStyle w:val="Compact"/>
              <w:jc w:val="left"/>
            </w:pPr>
            <w:r>
              <w:t xml:space="preserve">Texas VDA</w:t>
            </w:r>
          </w:p>
        </w:tc>
        <w:tc>
          <w:tcPr/>
          <w:p>
            <w:pPr>
              <w:pStyle w:val="Compact"/>
              <w:jc w:val="left"/>
            </w:pPr>
            <w:r>
              <w:t xml:space="preserve">File now for the Texas entities, or report on the normal cycle</w:t>
            </w:r>
          </w:p>
        </w:tc>
        <w:tc>
          <w:tcPr/>
          <w:p>
            <w:pPr>
              <w:pStyle w:val="Compact"/>
              <w:jc w:val="left"/>
            </w:pPr>
            <w:r>
              <w:t xml:space="preserve">VDA waives penalty and interest but must precede any Comptroller contact</w:t>
            </w:r>
          </w:p>
        </w:tc>
      </w:tr>
      <w:tr>
        <w:tc>
          <w:tcPr/>
          <w:p>
            <w:pPr>
              <w:pStyle w:val="Compact"/>
              <w:jc w:val="left"/>
            </w:pPr>
            <w:r>
              <w:t xml:space="preserve">Estimation rule</w:t>
            </w:r>
          </w:p>
        </w:tc>
        <w:tc>
          <w:tcPr/>
          <w:p>
            <w:pPr>
              <w:pStyle w:val="Compact"/>
              <w:jc w:val="left"/>
            </w:pPr>
            <w:r>
              <w:t xml:space="preserve">Lower fee tier (conservative) or actual tier where known</w:t>
            </w:r>
          </w:p>
        </w:tc>
        <w:tc>
          <w:tcPr/>
          <w:p>
            <w:pPr>
              <w:pStyle w:val="Compact"/>
              <w:jc w:val="left"/>
            </w:pPr>
            <w:r>
              <w:t xml:space="preserve">Sets the agent share for every item without paperwork</w:t>
            </w:r>
          </w:p>
        </w:tc>
      </w:tr>
    </w:tbl>
    <w:p>
      <w:pPr>
        <w:pStyle w:val="BodyText"/>
      </w:pPr>
      <w:r>
        <w:t xml:space="preserve">Target: fee and refund items cleared within 30 days; research complete and counsel package delivered within 90 days; first filings on the 2027 cycle.</w:t>
      </w:r>
    </w:p>
    <w:bookmarkEnd w:id="30"/>
    <w:bookmarkStart w:id="31" w:name="controls-kpis-and-escalation"/>
    <w:p>
      <w:pPr>
        <w:pStyle w:val="Heading2"/>
      </w:pPr>
      <w:r>
        <w:t xml:space="preserve">Controls, KPIs and escalation</w:t>
      </w:r>
    </w:p>
    <w:p>
      <w:pPr>
        <w:pStyle w:val="FirstParagraph"/>
      </w:pPr>
      <w:r>
        <w:t xml:space="preserve">The test of this process is that nothing ages past 90 days without a documented reason, and nothing reaches a state cutoff without a letter having been sent.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Target</w:t>
            </w:r>
          </w:p>
        </w:tc>
        <w:tc>
          <w:tcPr/>
          <w:p>
            <w:pPr>
              <w:pStyle w:val="Compact"/>
              <w:jc w:val="left"/>
            </w:pPr>
            <w:r>
              <w:t xml:space="preserve">Reviewed</w:t>
            </w:r>
          </w:p>
        </w:tc>
      </w:tr>
      <w:tr>
        <w:tc>
          <w:tcPr/>
          <w:p>
            <w:pPr>
              <w:pStyle w:val="Compact"/>
              <w:jc w:val="left"/>
            </w:pPr>
            <w:r>
              <w:t xml:space="preserve">Unbooked deposits older than 30 days, by entity</w:t>
            </w:r>
          </w:p>
        </w:tc>
        <w:tc>
          <w:tcPr/>
          <w:p>
            <w:pPr>
              <w:pStyle w:val="Compact"/>
              <w:jc w:val="left"/>
            </w:pPr>
            <w:r>
              <w:t xml:space="preserve">Zero without an escalation note</w:t>
            </w:r>
          </w:p>
        </w:tc>
        <w:tc>
          <w:tcPr/>
          <w:p>
            <w:pPr>
              <w:pStyle w:val="Compact"/>
              <w:jc w:val="left"/>
            </w:pPr>
            <w:r>
              <w:t xml:space="preserve">Monthly</w:t>
            </w:r>
          </w:p>
        </w:tc>
      </w:tr>
      <w:tr>
        <w:tc>
          <w:tcPr/>
          <w:p>
            <w:pPr>
              <w:pStyle w:val="Compact"/>
              <w:jc w:val="left"/>
            </w:pPr>
            <w:r>
              <w:t xml:space="preserve">Unbooked deposits older than 90 days, by entity</w:t>
            </w:r>
          </w:p>
        </w:tc>
        <w:tc>
          <w:tcPr/>
          <w:p>
            <w:pPr>
              <w:pStyle w:val="Compact"/>
              <w:jc w:val="left"/>
            </w:pPr>
            <w:r>
              <w:t xml:space="preserve">Zero without a Controller-approved reason</w:t>
            </w:r>
          </w:p>
        </w:tc>
        <w:tc>
          <w:tcPr/>
          <w:p>
            <w:pPr>
              <w:pStyle w:val="Compact"/>
              <w:jc w:val="left"/>
            </w:pPr>
            <w:r>
              <w:t xml:space="preserve">Quarterly</w:t>
            </w:r>
          </w:p>
        </w:tc>
      </w:tr>
      <w:tr>
        <w:tc>
          <w:tcPr/>
          <w:p>
            <w:pPr>
              <w:pStyle w:val="Compact"/>
              <w:jc w:val="left"/>
            </w:pPr>
            <w:r>
              <w:t xml:space="preserve">Items with no agent identified, older than 180 days</w:t>
            </w:r>
          </w:p>
        </w:tc>
        <w:tc>
          <w:tcPr/>
          <w:p>
            <w:pPr>
              <w:pStyle w:val="Compact"/>
              <w:jc w:val="left"/>
            </w:pPr>
            <w:r>
              <w:t xml:space="preserve">Trending to zero; each has a documented search</w:t>
            </w:r>
          </w:p>
        </w:tc>
        <w:tc>
          <w:tcPr/>
          <w:p>
            <w:pPr>
              <w:pStyle w:val="Compact"/>
              <w:jc w:val="left"/>
            </w:pPr>
            <w:r>
              <w:t xml:space="preserve">Quarterly</w:t>
            </w:r>
          </w:p>
        </w:tc>
      </w:tr>
      <w:tr>
        <w:tc>
          <w:tcPr/>
          <w:p>
            <w:pPr>
              <w:pStyle w:val="Compact"/>
              <w:jc w:val="left"/>
            </w:pPr>
            <w:r>
              <w:t xml:space="preserve">Dollars dormant at the next state cutoff with no letter sent</w:t>
            </w:r>
          </w:p>
        </w:tc>
        <w:tc>
          <w:tcPr/>
          <w:p>
            <w:pPr>
              <w:pStyle w:val="Compact"/>
              <w:jc w:val="left"/>
            </w:pPr>
            <w:r>
              <w:t xml:space="preserve">Zero</w:t>
            </w:r>
          </w:p>
        </w:tc>
        <w:tc>
          <w:tcPr/>
          <w:p>
            <w:pPr>
              <w:pStyle w:val="Compact"/>
              <w:jc w:val="left"/>
            </w:pPr>
            <w:r>
              <w:t xml:space="preserve">Quarterly, before each letter window</w:t>
            </w:r>
          </w:p>
        </w:tc>
      </w:tr>
      <w:tr>
        <w:tc>
          <w:tcPr/>
          <w:p>
            <w:pPr>
              <w:pStyle w:val="Compact"/>
              <w:jc w:val="left"/>
            </w:pPr>
            <w:r>
              <w:t xml:space="preserve">Items retained under offset or forfeiture without a counsel memo</w:t>
            </w:r>
          </w:p>
        </w:tc>
        <w:tc>
          <w:tcPr/>
          <w:p>
            <w:pPr>
              <w:pStyle w:val="Compact"/>
              <w:jc w:val="left"/>
            </w:pPr>
            <w:r>
              <w:t xml:space="preserve">Zero</w:t>
            </w:r>
          </w:p>
        </w:tc>
        <w:tc>
          <w:tcPr/>
          <w:p>
            <w:pPr>
              <w:pStyle w:val="Compact"/>
              <w:jc w:val="left"/>
            </w:pPr>
            <w:r>
              <w:t xml:space="preserve">Quarterly</w:t>
            </w:r>
          </w:p>
        </w:tc>
      </w:tr>
      <w:tr>
        <w:tc>
          <w:tcPr/>
          <w:p>
            <w:pPr>
              <w:pStyle w:val="Compact"/>
              <w:jc w:val="left"/>
            </w:pPr>
            <w:r>
              <w:t xml:space="preserve">Filings made by each state deadline</w:t>
            </w:r>
          </w:p>
        </w:tc>
        <w:tc>
          <w:tcPr/>
          <w:p>
            <w:pPr>
              <w:pStyle w:val="Compact"/>
              <w:jc w:val="left"/>
            </w:pPr>
            <w:r>
              <w:t xml:space="preserve">100%</w:t>
            </w:r>
          </w:p>
        </w:tc>
        <w:tc>
          <w:tcPr/>
          <w:p>
            <w:pPr>
              <w:pStyle w:val="Compact"/>
              <w:jc w:val="left"/>
            </w:pPr>
            <w:r>
              <w:t xml:space="preserve">Annually</w:t>
            </w:r>
          </w:p>
        </w:tc>
      </w:tr>
    </w:tbl>
    <w:p>
      <w:pPr>
        <w:pStyle w:val="BodyText"/>
      </w:pPr>
      <w:r>
        <w:t xml:space="preserve">Escalation: any single item over $5,000 unmatched at 60 days, or any entity with more than $25,000 unmatched over 90 days, is reported to the CFO in the quarterly memo. Any contact from a state administrator or audit firm about unclaimed property goes to the Controller and counsel the same day, because a VDA is no longer available once contact has been made.</w:t>
      </w:r>
    </w:p>
    <w:bookmarkEnd w:id="31"/>
    <w:bookmarkStart w:id="32" w:name="appendix"/>
    <w:p>
      <w:pPr>
        <w:pStyle w:val="Heading2"/>
      </w:pPr>
      <w:r>
        <w:t xml:space="preserve">Appendix</w:t>
      </w:r>
    </w:p>
    <w:p>
      <w:pPr>
        <w:pStyle w:val="FirstParagraph"/>
      </w:pPr>
      <w:r>
        <w:rPr>
          <w:bCs/>
          <w:b/>
        </w:rPr>
        <w:t xml:space="preserve">State dormancy periods applied.</w:t>
      </w:r>
      <w:r>
        <w:t xml:space="preserve"> </w:t>
      </w:r>
      <w:r>
        <w:t xml:space="preserve">Short period = wages or compensation for personal services; long period = general catch-all. The likely test reflects agents being independent contractors.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Short period</w:t>
            </w:r>
          </w:p>
        </w:tc>
        <w:tc>
          <w:tcPr/>
          <w:p>
            <w:pPr>
              <w:pStyle w:val="Compact"/>
              <w:jc w:val="left"/>
            </w:pPr>
            <w:r>
              <w:t xml:space="preserve">Long period</w:t>
            </w:r>
          </w:p>
        </w:tc>
        <w:tc>
          <w:tcPr/>
          <w:p>
            <w:pPr>
              <w:pStyle w:val="Compact"/>
              <w:jc w:val="left"/>
            </w:pPr>
            <w:r>
              <w:t xml:space="preserve">Likely test for contractor commissions</w:t>
            </w:r>
          </w:p>
        </w:tc>
        <w:tc>
          <w:tcPr/>
          <w:p>
            <w:pPr>
              <w:pStyle w:val="Compact"/>
              <w:jc w:val="left"/>
            </w:pPr>
            <w:r>
              <w:t xml:space="preserve">Basis</w:t>
            </w:r>
          </w:p>
        </w:tc>
      </w:tr>
      <w:tr>
        <w:tc>
          <w:tcPr/>
          <w:p>
            <w:pPr>
              <w:pStyle w:val="Compact"/>
              <w:jc w:val="left"/>
            </w:pPr>
            <w:r>
              <w:t xml:space="preserve">Texas</w:t>
            </w:r>
          </w:p>
        </w:tc>
        <w:tc>
          <w:tcPr/>
          <w:p>
            <w:pPr>
              <w:pStyle w:val="Compact"/>
              <w:jc w:val="left"/>
            </w:pPr>
            <w:r>
              <w:t xml:space="preserve">1 year (wages, Prop. Code 72.1015)</w:t>
            </w:r>
          </w:p>
        </w:tc>
        <w:tc>
          <w:tcPr/>
          <w:p>
            <w:pPr>
              <w:pStyle w:val="Compact"/>
              <w:jc w:val="left"/>
            </w:pPr>
            <w:r>
              <w:t xml:space="preserve">3 years (72.101)</w:t>
            </w:r>
          </w:p>
        </w:tc>
        <w:tc>
          <w:tcPr/>
          <w:p>
            <w:pPr>
              <w:pStyle w:val="Compact"/>
              <w:jc w:val="left"/>
            </w:pPr>
            <w:r>
              <w:t xml:space="preserve">Long</w:t>
            </w:r>
          </w:p>
        </w:tc>
        <w:tc>
          <w:tcPr/>
          <w:p>
            <w:pPr>
              <w:pStyle w:val="Compact"/>
              <w:jc w:val="left"/>
            </w:pPr>
            <w:r>
              <w:t xml:space="preserve">Wages defined by Labor Code 61.001, which excludes independent contractors</w:t>
            </w:r>
          </w:p>
        </w:tc>
      </w:tr>
      <w:tr>
        <w:tc>
          <w:tcPr/>
          <w:p>
            <w:pPr>
              <w:pStyle w:val="Compact"/>
              <w:jc w:val="left"/>
            </w:pPr>
            <w:r>
              <w:t xml:space="preserve">Illinois</w:t>
            </w:r>
          </w:p>
        </w:tc>
        <w:tc>
          <w:tcPr/>
          <w:p>
            <w:pPr>
              <w:pStyle w:val="Compact"/>
              <w:jc w:val="left"/>
            </w:pPr>
            <w:r>
              <w:t xml:space="preserve">1 year (765 ILCS 1026/15-201)</w:t>
            </w:r>
          </w:p>
        </w:tc>
        <w:tc>
          <w:tcPr/>
          <w:p>
            <w:pPr>
              <w:pStyle w:val="Compact"/>
              <w:jc w:val="left"/>
            </w:pPr>
            <w:r>
              <w:t xml:space="preserve">3 years</w:t>
            </w:r>
          </w:p>
        </w:tc>
        <w:tc>
          <w:tcPr/>
          <w:p>
            <w:pPr>
              <w:pStyle w:val="Compact"/>
              <w:jc w:val="left"/>
            </w:pPr>
            <w:r>
              <w:t xml:space="preserve">Short</w:t>
            </w:r>
          </w:p>
        </w:tc>
        <w:tc>
          <w:tcPr/>
          <w:p>
            <w:pPr>
              <w:pStyle w:val="Compact"/>
              <w:jc w:val="left"/>
            </w:pPr>
            <w:r>
              <w:t xml:space="preserve">Statute reaches other compensation for personal services</w:t>
            </w:r>
          </w:p>
        </w:tc>
      </w:tr>
      <w:tr>
        <w:tc>
          <w:tcPr/>
          <w:p>
            <w:pPr>
              <w:pStyle w:val="Compact"/>
              <w:jc w:val="left"/>
            </w:pPr>
            <w:r>
              <w:t xml:space="preserve">Pennsylvania</w:t>
            </w:r>
          </w:p>
        </w:tc>
        <w:tc>
          <w:tcPr/>
          <w:p>
            <w:pPr>
              <w:pStyle w:val="Compact"/>
              <w:jc w:val="left"/>
            </w:pPr>
            <w:r>
              <w:t xml:space="preserve">2 years (wages and commissions, per PA Treasury matrix)</w:t>
            </w:r>
          </w:p>
        </w:tc>
        <w:tc>
          <w:tcPr/>
          <w:p>
            <w:pPr>
              <w:pStyle w:val="Compact"/>
              <w:jc w:val="left"/>
            </w:pPr>
            <w:r>
              <w:t xml:space="preserve">3 years</w:t>
            </w:r>
          </w:p>
        </w:tc>
        <w:tc>
          <w:tcPr/>
          <w:p>
            <w:pPr>
              <w:pStyle w:val="Compact"/>
              <w:jc w:val="left"/>
            </w:pPr>
            <w:r>
              <w:t xml:space="preserve">Short</w:t>
            </w:r>
          </w:p>
        </w:tc>
        <w:tc>
          <w:tcPr/>
          <w:p>
            <w:pPr>
              <w:pStyle w:val="Compact"/>
              <w:jc w:val="left"/>
            </w:pPr>
            <w:r>
              <w:t xml:space="preserve">Matrix lists commissions without an employee limit; not verified from statute</w:t>
            </w:r>
          </w:p>
        </w:tc>
      </w:tr>
      <w:tr>
        <w:tc>
          <w:tcPr/>
          <w:p>
            <w:pPr>
              <w:pStyle w:val="Compact"/>
              <w:jc w:val="left"/>
            </w:pPr>
            <w:r>
              <w:t xml:space="preserve">Florida</w:t>
            </w:r>
          </w:p>
        </w:tc>
        <w:tc>
          <w:tcPr/>
          <w:p>
            <w:pPr>
              <w:pStyle w:val="Compact"/>
              <w:jc w:val="left"/>
            </w:pPr>
            <w:r>
              <w:t xml:space="preserve">1 year (unpaid wages, 717.115)</w:t>
            </w:r>
          </w:p>
        </w:tc>
        <w:tc>
          <w:tcPr/>
          <w:p>
            <w:pPr>
              <w:pStyle w:val="Compact"/>
              <w:jc w:val="left"/>
            </w:pPr>
            <w:r>
              <w:t xml:space="preserve">5 years (717.102)</w:t>
            </w:r>
          </w:p>
        </w:tc>
        <w:tc>
          <w:tcPr/>
          <w:p>
            <w:pPr>
              <w:pStyle w:val="Compact"/>
              <w:jc w:val="left"/>
            </w:pPr>
            <w:r>
              <w:t xml:space="preserve">Long</w:t>
            </w:r>
          </w:p>
        </w:tc>
        <w:tc>
          <w:tcPr/>
          <w:p>
            <w:pPr>
              <w:pStyle w:val="Compact"/>
              <w:jc w:val="left"/>
            </w:pPr>
            <w:r>
              <w:t xml:space="preserve">Wage rule not shown to reach contractors</w:t>
            </w:r>
          </w:p>
        </w:tc>
      </w:tr>
      <w:tr>
        <w:tc>
          <w:tcPr/>
          <w:p>
            <w:pPr>
              <w:pStyle w:val="Compact"/>
              <w:jc w:val="left"/>
            </w:pPr>
            <w:r>
              <w:t xml:space="preserve">Alabama</w:t>
            </w:r>
          </w:p>
        </w:tc>
        <w:tc>
          <w:tcPr/>
          <w:p>
            <w:pPr>
              <w:pStyle w:val="Compact"/>
              <w:jc w:val="left"/>
            </w:pPr>
            <w:r>
              <w:t xml:space="preserve">1 year (35-12-72)</w:t>
            </w:r>
          </w:p>
        </w:tc>
        <w:tc>
          <w:tcPr/>
          <w:p>
            <w:pPr>
              <w:pStyle w:val="Compact"/>
              <w:jc w:val="left"/>
            </w:pPr>
            <w:r>
              <w:t xml:space="preserve">3 years</w:t>
            </w:r>
          </w:p>
        </w:tc>
        <w:tc>
          <w:tcPr/>
          <w:p>
            <w:pPr>
              <w:pStyle w:val="Compact"/>
              <w:jc w:val="left"/>
            </w:pPr>
            <w:r>
              <w:t xml:space="preserve">Short</w:t>
            </w:r>
          </w:p>
        </w:tc>
        <w:tc>
          <w:tcPr/>
          <w:p>
            <w:pPr>
              <w:pStyle w:val="Compact"/>
              <w:jc w:val="left"/>
            </w:pPr>
            <w:r>
              <w:t xml:space="preserve">Statute reaches other compensation for personal services</w:t>
            </w:r>
          </w:p>
        </w:tc>
      </w:tr>
      <w:tr>
        <w:tc>
          <w:tcPr/>
          <w:p>
            <w:pPr>
              <w:pStyle w:val="Compact"/>
              <w:jc w:val="left"/>
            </w:pPr>
            <w:r>
              <w:t xml:space="preserve">Missouri</w:t>
            </w:r>
          </w:p>
        </w:tc>
        <w:tc>
          <w:tcPr/>
          <w:p>
            <w:pPr>
              <w:pStyle w:val="Compact"/>
              <w:jc w:val="left"/>
            </w:pPr>
            <w:r>
              <w:t xml:space="preserve">3 years (payroll)</w:t>
            </w:r>
          </w:p>
        </w:tc>
        <w:tc>
          <w:tcPr/>
          <w:p>
            <w:pPr>
              <w:pStyle w:val="Compact"/>
              <w:jc w:val="left"/>
            </w:pPr>
            <w:r>
              <w:t xml:space="preserve">5 years</w:t>
            </w:r>
          </w:p>
        </w:tc>
        <w:tc>
          <w:tcPr/>
          <w:p>
            <w:pPr>
              <w:pStyle w:val="Compact"/>
              <w:jc w:val="left"/>
            </w:pPr>
            <w:r>
              <w:t xml:space="preserve">Long</w:t>
            </w:r>
          </w:p>
        </w:tc>
        <w:tc>
          <w:tcPr/>
          <w:p>
            <w:pPr>
              <w:pStyle w:val="Compact"/>
              <w:jc w:val="left"/>
            </w:pPr>
            <w:r>
              <w:t xml:space="preserve">Relevant only if an entity were formed in Missouri; none is</w:t>
            </w:r>
          </w:p>
        </w:tc>
      </w:tr>
    </w:tbl>
    <w:p>
      <w:pPr>
        <w:pStyle w:val="BodyText"/>
      </w:pPr>
      <w:r>
        <w:rPr>
          <w:bCs/>
          <w:b/>
        </w:rPr>
        <w:t xml:space="preserve">Definitions.</w:t>
      </w:r>
      <w:r>
        <w:t xml:space="preserve"> </w:t>
      </w:r>
      <w:r>
        <w:t xml:space="preserve">Holder: the entity that owes the money (each office LLC). Owner: the agent or payer entitled to it. Dormancy period: the time after an amount becomes payable before it is presumed abandoned. Due diligence: the written notice to the owner required before remittance. Priority rules: the Supreme Court’s allocation of unclaimed property between states. VDA: a voluntary disclosure agreement with a state, which typically waives penalties and interest for holders that come forward before contact.</w:t>
      </w:r>
    </w:p>
    <w:p>
      <w:pPr>
        <w:pStyle w:val="BodyText"/>
      </w:pPr>
      <w:r>
        <w:rPr>
          <w:bCs/>
          <w:b/>
        </w:rPr>
        <w:t xml:space="preserve">Documents relied on.</w:t>
      </w:r>
      <w:r>
        <w:t xml:space="preserve"> </w:t>
      </w:r>
      <w:r>
        <w:t xml:space="preserve">United Cash Requirements workbook (10/6/2026). Accrued_Commissions_Unclaimed_Property_Analysis.xlsx and its build script, in the repository folder accrued-commissions-analysis. Independent contractor agreements for Dallas/Frisco (rev. 4/18/2023), Chicago, Houston (TXR-2301, 07-08-22), TUR legacy sign-up documents, and the Pennsylvania ICA (08.2023). ICA Fee Structure Cheat Sheet and JV ICA Transaction Fee Summary. Entity Management Database.</w:t>
      </w:r>
    </w:p>
    <w:p>
      <w:pPr>
        <w:pStyle w:val="BodyText"/>
      </w:pPr>
      <w:r>
        <w:rPr>
          <w:bCs/>
          <w:b/>
        </w:rPr>
        <w:t xml:space="preserve">Not verified in this analysis.</w:t>
      </w:r>
      <w:r>
        <w:t xml:space="preserve"> </w:t>
      </w:r>
      <w:r>
        <w:t xml:space="preserve">Primary statute pages for every state were blocked from the research session, so the periods above rest on statute summaries and state treasury guidance. Specifically unconfirmed: the Illinois business-holder report deadline, the Pennsylvania December 31 cutoff and current voluntary compliance terms, the Florida and Alabama due-diligence thresholds, Illinois and Missouri VDA programs, and whether any of the five states honors a contractual forfeiture against an escheat claim. Counsel confirms each before the first filing.</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2026-10-06T16:26:36Z</dcterms:created>
  <dcterms:modified xsi:type="dcterms:W3CDTF">2026-10-06T16:26:36Z</dcterms:modified>
</cp:coreProperties>
</file>

<file path=docProps/custom.xml><?xml version="1.0" encoding="utf-8"?>
<Properties xmlns="http://schemas.openxmlformats.org/officeDocument/2006/custom-properties" xmlns:vt="http://schemas.openxmlformats.org/officeDocument/2006/docPropsVTypes"/>
</file>