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c61550a5a5a03ac113492776c2547a186d1d64f"/>
    <w:p>
      <w:pPr>
        <w:pStyle w:val="Heading1"/>
        <w:spacing w:after="20" w:before="80" w:line="240" w:lineRule="auto"/>
      </w:pPr>
      <w:r>
        <w:rPr>
          <w:rFonts w:ascii="Arial" w:hAnsi="Arial" w:eastAsia="Arial"/>
          <w:b/>
          <w:sz w:val="19"/>
        </w:rPr>
        <w:t xml:space="preserve">Accrued Commissions Briefing for CFO and Controller</w:t>
      </w:r>
    </w:p>
    <w:p>
      <w:pPr>
        <w:pStyle w:val="FirstParagraph"/>
        <w:spacing w:after="60" w:before="0" w:line="240" w:lineRule="auto"/>
      </w:pPr>
      <w:r>
        <w:rPr>
          <w:rFonts w:ascii="Arial" w:hAnsi="Arial" w:eastAsia="Arial"/>
          <w:sz w:val="17"/>
        </w:rPr>
        <w:t xml:space="preserve">October 6, 2026. Prepared for the CFO and Controller. Snapshot of the Claude Doc; the doc is the editable master.</w:t>
      </w:r>
    </w:p>
    <w:bookmarkStart w:id="20" w:name="decision-requested"/>
    <w:p>
      <w:pPr>
        <w:pStyle w:val="Heading2"/>
        <w:spacing w:after="20" w:before="80" w:line="240" w:lineRule="auto"/>
      </w:pPr>
      <w:r>
        <w:rPr>
          <w:rFonts w:ascii="Arial" w:hAnsi="Arial" w:eastAsia="Arial"/>
          <w:b/>
          <w:sz w:val="19"/>
        </w:rPr>
        <w:t xml:space="preserve">Decision requested</w:t>
      </w:r>
    </w:p>
    <w:p>
      <w:pPr>
        <w:pStyle w:val="FirstParagraph"/>
        <w:spacing w:after="60" w:before="0" w:line="240" w:lineRule="auto"/>
      </w:pPr>
      <w:r>
        <w:rPr>
          <w:rFonts w:ascii="Arial" w:hAnsi="Arial" w:eastAsia="Arial"/>
          <w:sz w:val="17"/>
        </w:rPr>
        <w:t xml:space="preserve">Approve the remediation plan for the $226,764.46 of deposited but unapplied commission checks and sign off on the four positions below. The plan resolves every item at or near its state dormancy threshold: pay the agent, refund the payer, remit to the state, or retain with counsel’s written support. Younger items stay in the ordinary application process. The Director of Financial Reporting and Analysis runs one review a year, in early December ahead of every state cutoff, and owns the filings. Every rule behind these figures was verified from the statute text and state treasury pages on 10/6/2026.</w:t>
      </w:r>
    </w:p>
    <w:bookmarkEnd w:id="20"/>
    <w:bookmarkStart w:id="21" w:name="the-balance-and-what-it-is-made-of"/>
    <w:p>
      <w:pPr>
        <w:pStyle w:val="Heading2"/>
        <w:spacing w:after="20" w:before="80" w:line="240" w:lineRule="auto"/>
      </w:pPr>
      <w:r>
        <w:rPr>
          <w:rFonts w:ascii="Arial" w:hAnsi="Arial" w:eastAsia="Arial"/>
          <w:b/>
          <w:sz w:val="19"/>
        </w:rPr>
        <w:t xml:space="preserve">The balance and what it is made of</w:t>
      </w:r>
    </w:p>
    <w:p>
      <w:pPr>
        <w:pStyle w:val="FirstParagraph"/>
        <w:spacing w:after="60" w:before="0" w:line="240" w:lineRule="auto"/>
      </w:pPr>
      <w:r>
        <w:rPr>
          <w:rFonts w:ascii="Arial" w:hAnsi="Arial" w:eastAsia="Arial"/>
          <w:sz w:val="17"/>
        </w:rPr>
        <w:t xml:space="preserve">As of 10/6/2026, 181 deposited checks not yet matched and booked in Sage total $226,764.46; a further $144,542.00 of September and October 2026 deposits is in normal workflow. Of the 181 items: 48 at exact fee amounts, $20,825.00; 15 small amounts, $2,058.33; 16 memo-flagged as not ours, unknown, duplicate or on hold, $30,640.63; and 102 larger checks that likely include an agent’s split, $173,240.50. $14,713.25 is three to five years old and the oldest item is a Houston deposit from 1/31/2022.</w:t>
      </w:r>
    </w:p>
    <w:bookmarkEnd w:id="21"/>
    <w:bookmarkStart w:id="22" w:name="exposure-under-the-verified-rules"/>
    <w:p>
      <w:pPr>
        <w:pStyle w:val="Heading2"/>
        <w:spacing w:after="20" w:before="80" w:line="240" w:lineRule="auto"/>
      </w:pPr>
      <w:r>
        <w:rPr>
          <w:rFonts w:ascii="Arial" w:hAnsi="Arial" w:eastAsia="Arial"/>
          <w:b/>
          <w:sz w:val="19"/>
        </w:rPr>
        <w:t xml:space="preserve">Exposure under the verified rules</w:t>
      </w:r>
    </w:p>
    <w:p>
      <w:pPr>
        <w:pStyle w:val="FirstParagraph"/>
        <w:spacing w:after="60" w:before="0" w:line="240" w:lineRule="auto"/>
      </w:pPr>
      <w:r>
        <w:rPr>
          <w:rFonts w:ascii="Arial" w:hAnsi="Arial" w:eastAsia="Arial"/>
          <w:sz w:val="17"/>
        </w:rPr>
        <w:t xml:space="preserve">Of the larger and memo-flagged items, $13,407.75 is past its dormancy period today and $21,256.75 will be by the next state cutoffs. Texas governs five of the seven entities, including unknown-agent items at Chicago and Philly, because those LLCs were formed in Texas. The Texas test for contractor commissions is the 3-year general rule: the 1-year rule covers only wages owed by an employer to an employee, and the Comptroller’s property-code table lists commissions at 3 years. Dollars; upper bounds at full check amounts.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spacing w:after="0" w:before="0" w:line="240" w:lineRule="auto"/>
              <w:jc w:val="left"/>
            </w:pPr>
            <w:r>
              <w:rPr>
                <w:rFonts w:ascii="Arial" w:hAnsi="Arial" w:eastAsia="Arial"/>
                <w:sz w:val="14"/>
              </w:rPr>
              <w:t xml:space="preserve">Entity</w:t>
            </w:r>
          </w:p>
        </w:tc>
        <w:tc>
          <w:tcPr/>
          <w:p>
            <w:pPr>
              <w:pStyle w:val="Compact"/>
              <w:spacing w:after="0" w:before="0" w:line="240" w:lineRule="auto"/>
              <w:jc w:val="left"/>
            </w:pPr>
            <w:r>
              <w:rPr>
                <w:rFonts w:ascii="Arial" w:hAnsi="Arial" w:eastAsia="Arial"/>
                <w:sz w:val="14"/>
              </w:rPr>
              <w:t xml:space="preserve">State and test</w:t>
            </w:r>
          </w:p>
        </w:tc>
        <w:tc>
          <w:tcPr/>
          <w:p>
            <w:pPr>
              <w:pStyle w:val="Compact"/>
              <w:spacing w:after="0" w:before="0" w:line="240" w:lineRule="auto"/>
              <w:jc w:val="right"/>
            </w:pPr>
            <w:r>
              <w:rPr>
                <w:rFonts w:ascii="Arial" w:hAnsi="Arial" w:eastAsia="Arial"/>
                <w:sz w:val="14"/>
              </w:rPr>
              <w:t xml:space="preserve">Balance</w:t>
            </w:r>
          </w:p>
        </w:tc>
        <w:tc>
          <w:tcPr/>
          <w:p>
            <w:pPr>
              <w:pStyle w:val="Compact"/>
              <w:spacing w:after="0" w:before="0" w:line="240" w:lineRule="auto"/>
              <w:jc w:val="right"/>
            </w:pPr>
            <w:r>
              <w:rPr>
                <w:rFonts w:ascii="Arial" w:hAnsi="Arial" w:eastAsia="Arial"/>
                <w:sz w:val="14"/>
              </w:rPr>
              <w:t xml:space="preserve">Dormant today</w:t>
            </w:r>
          </w:p>
        </w:tc>
        <w:tc>
          <w:tcPr/>
          <w:p>
            <w:pPr>
              <w:pStyle w:val="Compact"/>
              <w:spacing w:after="0" w:before="0" w:line="240" w:lineRule="auto"/>
              <w:jc w:val="right"/>
            </w:pPr>
            <w:r>
              <w:rPr>
                <w:rFonts w:ascii="Arial" w:hAnsi="Arial" w:eastAsia="Arial"/>
                <w:sz w:val="14"/>
              </w:rPr>
              <w:t xml:space="preserve">By next cutoff</w:t>
            </w:r>
          </w:p>
        </w:tc>
      </w:tr>
      <w:tr>
        <w:tc>
          <w:tcPr/>
          <w:p>
            <w:pPr>
              <w:pStyle w:val="Compact"/>
              <w:spacing w:after="0" w:before="0" w:line="240" w:lineRule="auto"/>
              <w:jc w:val="left"/>
            </w:pPr>
            <w:r>
              <w:rPr>
                <w:rFonts w:ascii="Arial" w:hAnsi="Arial" w:eastAsia="Arial"/>
                <w:sz w:val="14"/>
              </w:rPr>
              <w:t xml:space="preserve">Dallas</w:t>
            </w:r>
          </w:p>
        </w:tc>
        <w:tc>
          <w:tcPr/>
          <w:p>
            <w:pPr>
              <w:pStyle w:val="Compact"/>
              <w:spacing w:after="0" w:before="0" w:line="240" w:lineRule="auto"/>
              <w:jc w:val="left"/>
            </w:pPr>
            <w:r>
              <w:rPr>
                <w:rFonts w:ascii="Arial" w:hAnsi="Arial" w:eastAsia="Arial"/>
                <w:sz w:val="14"/>
              </w:rPr>
              <w:t xml:space="preserve">TX, 3 yrs</w:t>
            </w:r>
          </w:p>
        </w:tc>
        <w:tc>
          <w:tcPr/>
          <w:p>
            <w:pPr>
              <w:pStyle w:val="Compact"/>
              <w:spacing w:after="0" w:before="0" w:line="240" w:lineRule="auto"/>
              <w:jc w:val="right"/>
            </w:pPr>
            <w:r>
              <w:rPr>
                <w:rFonts w:ascii="Arial" w:hAnsi="Arial" w:eastAsia="Arial"/>
                <w:sz w:val="14"/>
              </w:rPr>
              <w:t xml:space="preserve">59,991.62</w:t>
            </w:r>
          </w:p>
        </w:tc>
        <w:tc>
          <w:tcPr/>
          <w:p>
            <w:pPr>
              <w:pStyle w:val="Compact"/>
              <w:spacing w:after="0" w:before="0" w:line="240" w:lineRule="auto"/>
              <w:jc w:val="right"/>
            </w:pPr>
            <w:r>
              <w:rPr>
                <w:rFonts w:ascii="Arial" w:hAnsi="Arial" w:eastAsia="Arial"/>
                <w:sz w:val="14"/>
              </w:rPr>
              <w:t xml:space="preserve">6,707.80</w:t>
            </w:r>
          </w:p>
        </w:tc>
        <w:tc>
          <w:tcPr/>
          <w:p>
            <w:pPr>
              <w:pStyle w:val="Compact"/>
              <w:spacing w:after="0" w:before="0" w:line="240" w:lineRule="auto"/>
              <w:jc w:val="right"/>
            </w:pPr>
            <w:r>
              <w:rPr>
                <w:rFonts w:ascii="Arial" w:hAnsi="Arial" w:eastAsia="Arial"/>
                <w:sz w:val="14"/>
              </w:rPr>
              <w:t xml:space="preserve">8,042.30</w:t>
            </w:r>
          </w:p>
        </w:tc>
      </w:tr>
      <w:tr>
        <w:tc>
          <w:tcPr/>
          <w:p>
            <w:pPr>
              <w:pStyle w:val="Compact"/>
              <w:spacing w:after="0" w:before="0" w:line="240" w:lineRule="auto"/>
              <w:jc w:val="left"/>
            </w:pPr>
            <w:r>
              <w:rPr>
                <w:rFonts w:ascii="Arial" w:hAnsi="Arial" w:eastAsia="Arial"/>
                <w:sz w:val="14"/>
              </w:rPr>
              <w:t xml:space="preserve">Houston</w:t>
            </w:r>
          </w:p>
        </w:tc>
        <w:tc>
          <w:tcPr/>
          <w:p>
            <w:pPr>
              <w:pStyle w:val="Compact"/>
              <w:spacing w:after="0" w:before="0" w:line="240" w:lineRule="auto"/>
              <w:jc w:val="left"/>
            </w:pPr>
            <w:r>
              <w:rPr>
                <w:rFonts w:ascii="Arial" w:hAnsi="Arial" w:eastAsia="Arial"/>
                <w:sz w:val="14"/>
              </w:rPr>
              <w:t xml:space="preserve">TX, 3 yrs</w:t>
            </w:r>
          </w:p>
        </w:tc>
        <w:tc>
          <w:tcPr/>
          <w:p>
            <w:pPr>
              <w:pStyle w:val="Compact"/>
              <w:spacing w:after="0" w:before="0" w:line="240" w:lineRule="auto"/>
              <w:jc w:val="right"/>
            </w:pPr>
            <w:r>
              <w:rPr>
                <w:rFonts w:ascii="Arial" w:hAnsi="Arial" w:eastAsia="Arial"/>
                <w:sz w:val="14"/>
              </w:rPr>
              <w:t xml:space="preserve">76,889.50</w:t>
            </w:r>
          </w:p>
        </w:tc>
        <w:tc>
          <w:tcPr/>
          <w:p>
            <w:pPr>
              <w:pStyle w:val="Compact"/>
              <w:spacing w:after="0" w:before="0" w:line="240" w:lineRule="auto"/>
              <w:jc w:val="right"/>
            </w:pPr>
            <w:r>
              <w:rPr>
                <w:rFonts w:ascii="Arial" w:hAnsi="Arial" w:eastAsia="Arial"/>
                <w:sz w:val="14"/>
              </w:rPr>
              <w:t xml:space="preserve">5,636.60</w:t>
            </w:r>
          </w:p>
        </w:tc>
        <w:tc>
          <w:tcPr/>
          <w:p>
            <w:pPr>
              <w:pStyle w:val="Compact"/>
              <w:spacing w:after="0" w:before="0" w:line="240" w:lineRule="auto"/>
              <w:jc w:val="right"/>
            </w:pPr>
            <w:r>
              <w:rPr>
                <w:rFonts w:ascii="Arial" w:hAnsi="Arial" w:eastAsia="Arial"/>
                <w:sz w:val="14"/>
              </w:rPr>
              <w:t xml:space="preserve">6,011.60</w:t>
            </w:r>
          </w:p>
        </w:tc>
      </w:tr>
      <w:tr>
        <w:tc>
          <w:tcPr/>
          <w:p>
            <w:pPr>
              <w:pStyle w:val="Compact"/>
              <w:spacing w:after="0" w:before="0" w:line="240" w:lineRule="auto"/>
              <w:jc w:val="left"/>
            </w:pPr>
            <w:r>
              <w:rPr>
                <w:rFonts w:ascii="Arial" w:hAnsi="Arial" w:eastAsia="Arial"/>
                <w:sz w:val="14"/>
              </w:rPr>
              <w:t xml:space="preserve">TUR</w:t>
            </w:r>
          </w:p>
        </w:tc>
        <w:tc>
          <w:tcPr/>
          <w:p>
            <w:pPr>
              <w:pStyle w:val="Compact"/>
              <w:spacing w:after="0" w:before="0" w:line="240" w:lineRule="auto"/>
              <w:jc w:val="left"/>
            </w:pPr>
            <w:r>
              <w:rPr>
                <w:rFonts w:ascii="Arial" w:hAnsi="Arial" w:eastAsia="Arial"/>
                <w:sz w:val="14"/>
              </w:rPr>
              <w:t xml:space="preserve">TX, 3 yrs</w:t>
            </w:r>
          </w:p>
        </w:tc>
        <w:tc>
          <w:tcPr/>
          <w:p>
            <w:pPr>
              <w:pStyle w:val="Compact"/>
              <w:spacing w:after="0" w:before="0" w:line="240" w:lineRule="auto"/>
              <w:jc w:val="right"/>
            </w:pPr>
            <w:r>
              <w:rPr>
                <w:rFonts w:ascii="Arial" w:hAnsi="Arial" w:eastAsia="Arial"/>
                <w:sz w:val="14"/>
              </w:rPr>
              <w:t xml:space="preserve">55,528.45</w:t>
            </w:r>
          </w:p>
        </w:tc>
        <w:tc>
          <w:tcPr/>
          <w:p>
            <w:pPr>
              <w:pStyle w:val="Compact"/>
              <w:spacing w:after="0" w:before="0" w:line="240" w:lineRule="auto"/>
              <w:jc w:val="right"/>
            </w:pPr>
            <w:r>
              <w:rPr>
                <w:rFonts w:ascii="Arial" w:hAnsi="Arial" w:eastAsia="Arial"/>
                <w:sz w:val="14"/>
              </w:rPr>
              <w:t xml:space="preserve">644.00</w:t>
            </w:r>
          </w:p>
        </w:tc>
        <w:tc>
          <w:tcPr/>
          <w:p>
            <w:pPr>
              <w:pStyle w:val="Compact"/>
              <w:spacing w:after="0" w:before="0" w:line="240" w:lineRule="auto"/>
              <w:jc w:val="right"/>
            </w:pPr>
            <w:r>
              <w:rPr>
                <w:rFonts w:ascii="Arial" w:hAnsi="Arial" w:eastAsia="Arial"/>
                <w:sz w:val="14"/>
              </w:rPr>
              <w:t xml:space="preserve">2,373.50</w:t>
            </w:r>
          </w:p>
        </w:tc>
      </w:tr>
      <w:tr>
        <w:tc>
          <w:tcPr/>
          <w:p>
            <w:pPr>
              <w:pStyle w:val="Compact"/>
              <w:spacing w:after="0" w:before="0" w:line="240" w:lineRule="auto"/>
              <w:jc w:val="left"/>
            </w:pPr>
            <w:r>
              <w:rPr>
                <w:rFonts w:ascii="Arial" w:hAnsi="Arial" w:eastAsia="Arial"/>
                <w:sz w:val="14"/>
              </w:rPr>
              <w:t xml:space="preserve">Philly</w:t>
            </w:r>
          </w:p>
        </w:tc>
        <w:tc>
          <w:tcPr/>
          <w:p>
            <w:pPr>
              <w:pStyle w:val="Compact"/>
              <w:spacing w:after="0" w:before="0" w:line="240" w:lineRule="auto"/>
              <w:jc w:val="left"/>
            </w:pPr>
            <w:r>
              <w:rPr>
                <w:rFonts w:ascii="Arial" w:hAnsi="Arial" w:eastAsia="Arial"/>
                <w:sz w:val="14"/>
              </w:rPr>
              <w:t xml:space="preserve">TX, 3 yrs (PA 2 yrs with a PA address)</w:t>
            </w:r>
          </w:p>
        </w:tc>
        <w:tc>
          <w:tcPr/>
          <w:p>
            <w:pPr>
              <w:pStyle w:val="Compact"/>
              <w:spacing w:after="0" w:before="0" w:line="240" w:lineRule="auto"/>
              <w:jc w:val="right"/>
            </w:pPr>
            <w:r>
              <w:rPr>
                <w:rFonts w:ascii="Arial" w:hAnsi="Arial" w:eastAsia="Arial"/>
                <w:sz w:val="14"/>
              </w:rPr>
              <w:t xml:space="preserve">29,708.78</w:t>
            </w:r>
          </w:p>
        </w:tc>
        <w:tc>
          <w:tcPr/>
          <w:p>
            <w:pPr>
              <w:pStyle w:val="Compact"/>
              <w:spacing w:after="0" w:before="0" w:line="240" w:lineRule="auto"/>
              <w:jc w:val="right"/>
            </w:pPr>
            <w:r>
              <w:rPr>
                <w:rFonts w:ascii="Arial" w:hAnsi="Arial" w:eastAsia="Arial"/>
                <w:sz w:val="14"/>
              </w:rPr>
              <w:t xml:space="preserve">419.35</w:t>
            </w:r>
          </w:p>
        </w:tc>
        <w:tc>
          <w:tcPr/>
          <w:p>
            <w:pPr>
              <w:pStyle w:val="Compact"/>
              <w:spacing w:after="0" w:before="0" w:line="240" w:lineRule="auto"/>
              <w:jc w:val="right"/>
            </w:pPr>
            <w:r>
              <w:rPr>
                <w:rFonts w:ascii="Arial" w:hAnsi="Arial" w:eastAsia="Arial"/>
                <w:sz w:val="14"/>
              </w:rPr>
              <w:t xml:space="preserve">4,829.35</w:t>
            </w:r>
          </w:p>
        </w:tc>
      </w:tr>
      <w:tr>
        <w:tc>
          <w:tcPr/>
          <w:p>
            <w:pPr>
              <w:pStyle w:val="Compact"/>
              <w:spacing w:after="0" w:before="0" w:line="240" w:lineRule="auto"/>
              <w:jc w:val="left"/>
            </w:pPr>
            <w:r>
              <w:rPr>
                <w:rFonts w:ascii="Arial" w:hAnsi="Arial" w:eastAsia="Arial"/>
                <w:sz w:val="14"/>
              </w:rPr>
              <w:t xml:space="preserve">Chicago</w:t>
            </w:r>
          </w:p>
        </w:tc>
        <w:tc>
          <w:tcPr/>
          <w:p>
            <w:pPr>
              <w:pStyle w:val="Compact"/>
              <w:spacing w:after="0" w:before="0" w:line="240" w:lineRule="auto"/>
              <w:jc w:val="left"/>
            </w:pPr>
            <w:r>
              <w:rPr>
                <w:rFonts w:ascii="Arial" w:hAnsi="Arial" w:eastAsia="Arial"/>
                <w:sz w:val="14"/>
              </w:rPr>
              <w:t xml:space="preserve">TX, 3 yrs (IL 1 yr with an IL address)</w:t>
            </w:r>
          </w:p>
        </w:tc>
        <w:tc>
          <w:tcPr/>
          <w:p>
            <w:pPr>
              <w:pStyle w:val="Compact"/>
              <w:spacing w:after="0" w:before="0" w:line="240" w:lineRule="auto"/>
              <w:jc w:val="right"/>
            </w:pPr>
            <w:r>
              <w:rPr>
                <w:rFonts w:ascii="Arial" w:hAnsi="Arial" w:eastAsia="Arial"/>
                <w:sz w:val="14"/>
              </w:rPr>
              <w:t xml:space="preserve">0.00</w:t>
            </w:r>
          </w:p>
        </w:tc>
        <w:tc>
          <w:tcPr/>
          <w:p>
            <w:pPr>
              <w:pStyle w:val="Compact"/>
              <w:spacing w:after="0" w:before="0" w:line="240" w:lineRule="auto"/>
              <w:jc w:val="right"/>
            </w:pPr>
            <w:r>
              <w:rPr>
                <w:rFonts w:ascii="Arial" w:hAnsi="Arial" w:eastAsia="Arial"/>
                <w:sz w:val="14"/>
              </w:rPr>
              <w:t xml:space="preserve">0.00</w:t>
            </w:r>
          </w:p>
        </w:tc>
        <w:tc>
          <w:tcPr/>
          <w:p>
            <w:pPr>
              <w:pStyle w:val="Compact"/>
              <w:spacing w:after="0" w:before="0" w:line="240" w:lineRule="auto"/>
              <w:jc w:val="right"/>
            </w:pPr>
            <w:r>
              <w:rPr>
                <w:rFonts w:ascii="Arial" w:hAnsi="Arial" w:eastAsia="Arial"/>
                <w:sz w:val="14"/>
              </w:rPr>
              <w:t xml:space="preserve">0.00</w:t>
            </w:r>
          </w:p>
        </w:tc>
      </w:tr>
      <w:tr>
        <w:tc>
          <w:tcPr/>
          <w:p>
            <w:pPr>
              <w:pStyle w:val="Compact"/>
              <w:spacing w:after="0" w:before="0" w:line="240" w:lineRule="auto"/>
              <w:jc w:val="left"/>
            </w:pPr>
            <w:r>
              <w:rPr>
                <w:rFonts w:ascii="Arial" w:hAnsi="Arial" w:eastAsia="Arial"/>
                <w:sz w:val="14"/>
              </w:rPr>
              <w:t xml:space="preserve">Gallery</w:t>
            </w:r>
          </w:p>
        </w:tc>
        <w:tc>
          <w:tcPr/>
          <w:p>
            <w:pPr>
              <w:pStyle w:val="Compact"/>
              <w:spacing w:after="0" w:before="0" w:line="240" w:lineRule="auto"/>
              <w:jc w:val="left"/>
            </w:pPr>
            <w:r>
              <w:rPr>
                <w:rFonts w:ascii="Arial" w:hAnsi="Arial" w:eastAsia="Arial"/>
                <w:sz w:val="14"/>
              </w:rPr>
              <w:t xml:space="preserve">FL, 3 yrs</w:t>
            </w:r>
          </w:p>
        </w:tc>
        <w:tc>
          <w:tcPr/>
          <w:p>
            <w:pPr>
              <w:pStyle w:val="Compact"/>
              <w:spacing w:after="0" w:before="0" w:line="240" w:lineRule="auto"/>
              <w:jc w:val="right"/>
            </w:pPr>
            <w:r>
              <w:rPr>
                <w:rFonts w:ascii="Arial" w:hAnsi="Arial" w:eastAsia="Arial"/>
                <w:sz w:val="14"/>
              </w:rPr>
              <w:t xml:space="preserve">4,001.11</w:t>
            </w:r>
          </w:p>
        </w:tc>
        <w:tc>
          <w:tcPr/>
          <w:p>
            <w:pPr>
              <w:pStyle w:val="Compact"/>
              <w:spacing w:after="0" w:before="0" w:line="240" w:lineRule="auto"/>
              <w:jc w:val="right"/>
            </w:pPr>
            <w:r>
              <w:rPr>
                <w:rFonts w:ascii="Arial" w:hAnsi="Arial" w:eastAsia="Arial"/>
                <w:sz w:val="14"/>
              </w:rPr>
              <w:t xml:space="preserve">0.00</w:t>
            </w:r>
          </w:p>
        </w:tc>
        <w:tc>
          <w:tcPr/>
          <w:p>
            <w:pPr>
              <w:pStyle w:val="Compact"/>
              <w:spacing w:after="0" w:before="0" w:line="240" w:lineRule="auto"/>
              <w:jc w:val="right"/>
            </w:pPr>
            <w:r>
              <w:rPr>
                <w:rFonts w:ascii="Arial" w:hAnsi="Arial" w:eastAsia="Arial"/>
                <w:sz w:val="14"/>
              </w:rPr>
              <w:t xml:space="preserve">0.00</w:t>
            </w:r>
          </w:p>
        </w:tc>
      </w:tr>
      <w:tr>
        <w:tc>
          <w:tcPr/>
          <w:p>
            <w:pPr>
              <w:pStyle w:val="Compact"/>
              <w:spacing w:after="0" w:before="0" w:line="240" w:lineRule="auto"/>
              <w:jc w:val="left"/>
            </w:pPr>
            <w:r>
              <w:rPr>
                <w:rFonts w:ascii="Arial" w:hAnsi="Arial" w:eastAsia="Arial"/>
                <w:sz w:val="14"/>
              </w:rPr>
              <w:t xml:space="preserve">Leading Edge</w:t>
            </w:r>
          </w:p>
        </w:tc>
        <w:tc>
          <w:tcPr/>
          <w:p>
            <w:pPr>
              <w:pStyle w:val="Compact"/>
              <w:spacing w:after="0" w:before="0" w:line="240" w:lineRule="auto"/>
              <w:jc w:val="left"/>
            </w:pPr>
            <w:r>
              <w:rPr>
                <w:rFonts w:ascii="Arial" w:hAnsi="Arial" w:eastAsia="Arial"/>
                <w:sz w:val="14"/>
              </w:rPr>
              <w:t xml:space="preserve">AL, 1 yr</w:t>
            </w:r>
          </w:p>
        </w:tc>
        <w:tc>
          <w:tcPr/>
          <w:p>
            <w:pPr>
              <w:pStyle w:val="Compact"/>
              <w:spacing w:after="0" w:before="0" w:line="240" w:lineRule="auto"/>
              <w:jc w:val="right"/>
            </w:pPr>
            <w:r>
              <w:rPr>
                <w:rFonts w:ascii="Arial" w:hAnsi="Arial" w:eastAsia="Arial"/>
                <w:sz w:val="14"/>
              </w:rPr>
              <w:t xml:space="preserve">645.00</w:t>
            </w:r>
          </w:p>
        </w:tc>
        <w:tc>
          <w:tcPr/>
          <w:p>
            <w:pPr>
              <w:pStyle w:val="Compact"/>
              <w:spacing w:after="0" w:before="0" w:line="240" w:lineRule="auto"/>
              <w:jc w:val="right"/>
            </w:pPr>
            <w:r>
              <w:rPr>
                <w:rFonts w:ascii="Arial" w:hAnsi="Arial" w:eastAsia="Arial"/>
                <w:sz w:val="14"/>
              </w:rPr>
              <w:t xml:space="preserve">0.00</w:t>
            </w:r>
          </w:p>
        </w:tc>
        <w:tc>
          <w:tcPr/>
          <w:p>
            <w:pPr>
              <w:pStyle w:val="Compact"/>
              <w:spacing w:after="0" w:before="0" w:line="240" w:lineRule="auto"/>
              <w:jc w:val="right"/>
            </w:pPr>
            <w:r>
              <w:rPr>
                <w:rFonts w:ascii="Arial" w:hAnsi="Arial" w:eastAsia="Arial"/>
                <w:sz w:val="14"/>
              </w:rPr>
              <w:t xml:space="preserve">0.00</w:t>
            </w:r>
          </w:p>
        </w:tc>
      </w:tr>
      <w:tr>
        <w:tc>
          <w:tcPr/>
          <w:p>
            <w:pPr>
              <w:pStyle w:val="Compact"/>
              <w:spacing w:after="0" w:before="0" w:line="240" w:lineRule="auto"/>
              <w:jc w:val="left"/>
            </w:pPr>
            <w:r>
              <w:rPr>
                <w:rFonts w:ascii="Arial" w:hAnsi="Arial" w:eastAsia="Arial"/>
                <w:sz w:val="14"/>
              </w:rPr>
              <w:t xml:space="preserve">Total</w:t>
            </w:r>
          </w:p>
        </w:tc>
        <w:tc>
          <w:tcPr/>
          <w:p>
            <w:pPr>
              <w:pStyle w:val="Compact"/>
              <w:spacing w:after="0" w:before="0" w:line="240" w:lineRule="auto"/>
            </w:pPr>
          </w:p>
        </w:tc>
        <w:tc>
          <w:tcPr/>
          <w:p>
            <w:pPr>
              <w:pStyle w:val="Compact"/>
              <w:spacing w:after="0" w:before="0" w:line="240" w:lineRule="auto"/>
              <w:jc w:val="right"/>
            </w:pPr>
            <w:r>
              <w:rPr>
                <w:rFonts w:ascii="Arial" w:hAnsi="Arial" w:eastAsia="Arial"/>
                <w:sz w:val="14"/>
              </w:rPr>
              <w:t xml:space="preserve">226,764.46</w:t>
            </w:r>
          </w:p>
        </w:tc>
        <w:tc>
          <w:tcPr/>
          <w:p>
            <w:pPr>
              <w:pStyle w:val="Compact"/>
              <w:spacing w:after="0" w:before="0" w:line="240" w:lineRule="auto"/>
              <w:jc w:val="right"/>
            </w:pPr>
            <w:r>
              <w:rPr>
                <w:rFonts w:ascii="Arial" w:hAnsi="Arial" w:eastAsia="Arial"/>
                <w:sz w:val="14"/>
              </w:rPr>
              <w:t xml:space="preserve">13,407.75</w:t>
            </w:r>
          </w:p>
        </w:tc>
        <w:tc>
          <w:tcPr/>
          <w:p>
            <w:pPr>
              <w:pStyle w:val="Compact"/>
              <w:spacing w:after="0" w:before="0" w:line="240" w:lineRule="auto"/>
              <w:jc w:val="right"/>
            </w:pPr>
            <w:r>
              <w:rPr>
                <w:rFonts w:ascii="Arial" w:hAnsi="Arial" w:eastAsia="Arial"/>
                <w:sz w:val="14"/>
              </w:rPr>
              <w:t xml:space="preserve">21,256.75</w:t>
            </w:r>
          </w:p>
        </w:tc>
      </w:tr>
    </w:tbl>
    <w:bookmarkEnd w:id="22"/>
    <w:bookmarkStart w:id="23" w:name="X696e8f11ac41a0e486360e275d9f6f1ba507580"/>
    <w:p>
      <w:pPr>
        <w:pStyle w:val="Heading2"/>
        <w:spacing w:after="20" w:before="80" w:line="240" w:lineRule="auto"/>
      </w:pPr>
      <w:r>
        <w:rPr>
          <w:rFonts w:ascii="Arial" w:hAnsi="Arial" w:eastAsia="Arial"/>
          <w:b/>
          <w:sz w:val="19"/>
        </w:rPr>
        <w:t xml:space="preserve">What the company keeps and books to revenue</w:t>
      </w:r>
    </w:p>
    <w:p>
      <w:pPr>
        <w:pStyle w:val="FirstParagraph"/>
        <w:spacing w:after="60" w:before="0" w:line="240" w:lineRule="auto"/>
      </w:pPr>
      <w:r>
        <w:rPr>
          <w:rFonts w:ascii="Arial" w:hAnsi="Arial" w:eastAsia="Arial"/>
          <w:sz w:val="17"/>
        </w:rPr>
        <w:t xml:space="preserve">The 48 fee checks, $20,825.00, and the 15 small items, $2,058.33, are company fees, not unclaimed property. They are not moved to revenue en masse: they stay in the accrued balance, are recognized when matched in the ordinary course, and are already captured by the year-end revenue true-up. At a review only an item being written off at that time is booked to revenue. In the larger checks only the agent’s share is reportable; where the closing documents are missing it is the check less the standard fee at the lower tier, documented per item. Memo-flagged items go back to their payers. Nothing is written off to income because the owner is unknown.</w:t>
      </w:r>
    </w:p>
    <w:bookmarkEnd w:id="23"/>
    <w:bookmarkStart w:id="24" w:name="X1a658e0fc81e58b78c5d76293827d15fe07a018"/>
    <w:p>
      <w:pPr>
        <w:pStyle w:val="Heading2"/>
        <w:spacing w:after="20" w:before="80" w:line="240" w:lineRule="auto"/>
      </w:pPr>
      <w:r>
        <w:rPr>
          <w:rFonts w:ascii="Arial" w:hAnsi="Arial" w:eastAsia="Arial"/>
          <w:b/>
          <w:sz w:val="19"/>
        </w:rPr>
        <w:t xml:space="preserve">Cash and P&amp;L impact of the remediation plan</w:t>
      </w:r>
    </w:p>
    <w:p>
      <w:pPr>
        <w:pStyle w:val="FirstParagraph"/>
        <w:spacing w:after="60" w:before="0" w:line="240" w:lineRule="auto"/>
      </w:pPr>
      <w:r>
        <w:rPr>
          <w:rFonts w:ascii="Arial" w:hAnsi="Arial" w:eastAsia="Arial"/>
          <w:sz w:val="17"/>
        </w:rPr>
        <w:t xml:space="preserve">The cash is in the bank and carried as a liability, so the plan moves it out or recognizes it; none of it is an expense. Revenue: nothing is booked up front; the fee checks are already captured by the year-end true-up, and the company’s split of each larger check is recognized as it is matched or written off. Cash out: up to $30,640.63 refunded to payers, and $13,407.75 paid to agents or remitted to states today, $21,256.75 by the cutoffs, at full check amounts. A missed cutoff costs interest and penalties, not the property: Texas 10% a year plus 5% to 10% of the value; Pennsylvania 12% a year plus up to $1,000 a day; Florida up to $500 a day plus 25% of unreported value if wilful; Alabama $100 a business day. Each state waives for a good-faith holder, and the voluntary disclosure agreements waive them for the backlog.</w:t>
      </w:r>
    </w:p>
    <w:bookmarkEnd w:id="24"/>
    <w:bookmarkStart w:id="25" w:name="four-decisions-that-need-your-sign-off"/>
    <w:p>
      <w:pPr>
        <w:pStyle w:val="Heading2"/>
        <w:spacing w:after="20" w:before="80" w:line="240" w:lineRule="auto"/>
      </w:pPr>
      <w:r>
        <w:rPr>
          <w:rFonts w:ascii="Arial" w:hAnsi="Arial" w:eastAsia="Arial"/>
          <w:b/>
          <w:sz w:val="19"/>
        </w:rPr>
        <w:t xml:space="preserve">Four decisions that need your sign-off</w:t>
      </w:r>
    </w:p>
    <w:p>
      <w:pPr>
        <w:numPr>
          <w:ilvl w:val="0"/>
          <w:numId w:val="1001"/>
        </w:numPr>
        <w:pStyle w:val="Compact"/>
        <w:spacing w:after="60" w:before="0" w:line="240" w:lineRule="auto"/>
      </w:pPr>
      <w:r>
        <w:rPr>
          <w:rFonts w:ascii="Arial" w:hAnsi="Arial" w:eastAsia="Arial"/>
          <w:sz w:val="17"/>
        </w:rPr>
        <w:t xml:space="preserve">Texas period: adopted at 3 years. The 1-year rule uses the Labor Code 61.001 definition of wages, which excludes independent contractors, and Comptroller Pub. 96-478 lists commissions (MS02) at 3 years.</w:t>
      </w:r>
    </w:p>
    <w:p>
      <w:pPr>
        <w:numPr>
          <w:ilvl w:val="0"/>
          <w:numId w:val="1001"/>
        </w:numPr>
        <w:pStyle w:val="Compact"/>
        <w:spacing w:after="60" w:before="0" w:line="240" w:lineRule="auto"/>
      </w:pPr>
      <w:r>
        <w:rPr>
          <w:rFonts w:ascii="Arial" w:hAnsi="Arial" w:eastAsia="Arial"/>
          <w:sz w:val="17"/>
        </w:rPr>
        <w:t xml:space="preserve">Philly forfeiture clause: not relied on. Items past dormancy are paid or reported at the agent’s share regardless of the ICA’s 60-day incomplete-file clause. Texas 74.308 and 74.309 and the Illinois, Florida and Alabama acts disregard contract-based limits; the Pennsylvania act is silent. Philly: $419.35 today, $4,829.35 by the cutoff.</w:t>
      </w:r>
    </w:p>
    <w:p>
      <w:pPr>
        <w:numPr>
          <w:ilvl w:val="0"/>
          <w:numId w:val="1001"/>
        </w:numPr>
        <w:pStyle w:val="Compact"/>
        <w:spacing w:after="60" w:before="0" w:line="240" w:lineRule="auto"/>
      </w:pPr>
      <w:r>
        <w:rPr>
          <w:rFonts w:ascii="Arial" w:hAnsi="Arial" w:eastAsia="Arial"/>
          <w:sz w:val="17"/>
        </w:rPr>
        <w:t xml:space="preserve">Texas voluntary disclosure. Request one coordinated agreement for the five Texas LLCs before any Comptroller contact; it waives interest and penalty, and the look-back is 10 years.</w:t>
      </w:r>
    </w:p>
    <w:p>
      <w:pPr>
        <w:numPr>
          <w:ilvl w:val="0"/>
          <w:numId w:val="1001"/>
        </w:numPr>
        <w:pStyle w:val="Compact"/>
        <w:spacing w:after="60" w:before="0" w:line="240" w:lineRule="auto"/>
      </w:pPr>
      <w:r>
        <w:rPr>
          <w:rFonts w:ascii="Arial" w:hAnsi="Arial" w:eastAsia="Arial"/>
          <w:sz w:val="17"/>
        </w:rPr>
        <w:t xml:space="preserve">Estimation rule. Where the Disbursement Authorization or Closing Disclosure cannot be found, set the agent’s share as the check less the standard fee, lower tier when the price is unknown, document it per item, and hold it in commissions payable until paid or remitted.</w:t>
      </w:r>
    </w:p>
    <w:bookmarkEnd w:id="25"/>
    <w:bookmarkStart w:id="26" w:name="timeline-to-the-2027-filings"/>
    <w:p>
      <w:pPr>
        <w:pStyle w:val="Heading2"/>
        <w:spacing w:after="20" w:before="80" w:line="240" w:lineRule="auto"/>
      </w:pPr>
      <w:r>
        <w:rPr>
          <w:rFonts w:ascii="Arial" w:hAnsi="Arial" w:eastAsia="Arial"/>
          <w:b/>
          <w:sz w:val="19"/>
        </w:rPr>
        <w:t xml:space="preserve">Timeline to the 2027 filings</w:t>
      </w:r>
    </w:p>
    <w:p>
      <w:pPr>
        <w:pStyle w:val="FirstParagraph"/>
        <w:spacing w:after="60" w:before="0" w:line="240" w:lineRule="auto"/>
      </w:pPr>
      <w:r>
        <w:rPr>
          <w:rFonts w:ascii="Arial" w:hAnsi="Arial" w:eastAsia="Arial"/>
          <w:sz w:val="17"/>
        </w:rPr>
        <w:t xml:space="preserve">One cycle a year. Before the first review: send the Texas VDA request, which must precede any Comptroller contact, and deliver the counsel package. Early December 2026, as of November 30: the review, projected to every cutoff (12/31/2026 for Pennsylvania, Illinois and Florida; 3/1/2027 for Texas; 6/30/2027 for Alabama). 1/1/2027 to 2/14/2027: one batch of due-diligence letters, which satisfies all five states. Reports prepared together and submitted on the statutory dates: Pennsylvania 4/15/2027, Illinois and Florida 5/1/2027, Texas 7/1/2027, Alabama 11/1/2027.</w:t>
      </w:r>
    </w:p>
    <w:bookmarkEnd w:id="26"/>
    <w:bookmarkStart w:id="27" w:name="what-is-still-unverified"/>
    <w:p>
      <w:pPr>
        <w:pStyle w:val="Heading2"/>
        <w:spacing w:after="20" w:before="80" w:line="240" w:lineRule="auto"/>
      </w:pPr>
      <w:r>
        <w:rPr>
          <w:rFonts w:ascii="Arial" w:hAnsi="Arial" w:eastAsia="Arial"/>
          <w:b/>
          <w:sz w:val="19"/>
        </w:rPr>
        <w:t xml:space="preserve">What is still unverified</w:t>
      </w:r>
    </w:p>
    <w:p>
      <w:pPr>
        <w:pStyle w:val="FirstParagraph"/>
        <w:spacing w:after="60" w:before="0" w:line="240" w:lineRule="auto"/>
      </w:pPr>
      <w:r>
        <w:rPr>
          <w:rFonts w:ascii="Arial" w:hAnsi="Arial" w:eastAsia="Arial"/>
          <w:sz w:val="17"/>
        </w:rPr>
        <w:t xml:space="preserve">No court decision or Comptroller ruling specifically on broker-to-agent commissions was found; the Texas position rests on the statutory definitions and the Comptroller’s property-code table and is adopted as policy. The forfeiture clauses are not relied on, so their enforceability does not matter. The deposit date stands in for the payable date. The fee-versus-agent split of each larger check is unknown until the closing file is pulled, so every figure is an upper bound. Texas VDA eligibility for a prior filer is not stated by the Comptroller. Missouri and DC were not researched. If an agent later submits the file for a remitted commission, the agent is still paid and the company recovers the amount from the state (Texas 74.502).</w:t>
      </w:r>
    </w:p>
    <w:bookmarkEnd w:id="27"/>
    <w:bookmarkEnd w:id="28"/>
    <w:sectPr>
      <w:pgSz w:w="12240" w:h="15840"/>
      <w:pgMar w:top="720" w:bottom="720" w:left="648" w:right="6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rPr>
  </w:style>
  <w:style w:styleId="BodyText" w:type="paragraph">
    <w:name w:val="Body Text"/>
    <w:basedOn w:val="Normal"/>
    <w:link w:val="BodyTextChar"/>
    <w:pPr>
      <w:spacing w:after="180" w:before="180"/>
    </w:pPr>
    <w:qFormat/>
    <w:rPr>
      <w:rFonts w:ascii="Arial" w:hAnsi="Arial"/>
    </w:rPr>
  </w:style>
  <w:style w:customStyle="1" w:styleId="FirstParagraph" w:type="paragraph">
    <w:name w:val="First Paragraph"/>
    <w:basedOn w:val="BodyText"/>
    <w:next w:val="BodyText"/>
    <w:qFormat/>
    <w:rPr>
      <w:rFonts w:ascii="Arial" w:hAnsi="Arial"/>
    </w:rPr>
  </w:style>
  <w:style w:customStyle="1" w:styleId="Compact" w:type="paragraph">
    <w:name w:val="Compact"/>
    <w:basedOn w:val="BodyText"/>
    <w:qFormat/>
    <w:pPr>
      <w:spacing w:after="36" w:before="36"/>
    </w:pPr>
    <w:rPr>
      <w:rFonts w:ascii="Arial" w:hAnsi="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2026-10-06T19:50:17Z</dcterms:created>
  <dcterms:modified xsi:type="dcterms:W3CDTF">2026-10-06T19:50:17Z</dcterms:modified>
</cp:coreProperties>
</file>

<file path=docProps/custom.xml><?xml version="1.0" encoding="utf-8"?>
<Properties xmlns="http://schemas.openxmlformats.org/officeDocument/2006/custom-properties" xmlns:vt="http://schemas.openxmlformats.org/officeDocument/2006/docPropsVTypes"/>
</file>