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Microsoft YaHei"/>
          <w:b/>
          <w:color w:val="2E74B5"/>
          <w:sz w:val="24"/>
        </w:rPr>
        <w:t>计算机软件著作权登记材料</w:t>
      </w:r>
    </w:p>
    <w:p>
      <w:pPr>
        <w:spacing w:before="360" w:after="240"/>
        <w:jc w:val="center"/>
      </w:pPr>
      <w:r>
        <w:rPr>
          <w:rFonts w:ascii="Calibri" w:hAnsi="Calibri" w:eastAsia="Microsoft YaHei"/>
          <w:b/>
          <w:color w:val="1F2937"/>
          <w:sz w:val="52"/>
        </w:rPr>
        <w:t>知启云AI企业级AI创作与智能体平台</w:t>
      </w:r>
    </w:p>
    <w:p>
      <w:pPr>
        <w:jc w:val="center"/>
      </w:pPr>
      <w:r>
        <w:rPr>
          <w:rFonts w:ascii="Calibri" w:hAnsi="Calibri" w:eastAsia="Microsoft YaHei"/>
          <w:b/>
          <w:color w:val="1F4D78"/>
          <w:sz w:val="36"/>
        </w:rPr>
        <w:t>V1.0 软件功能说明书</w:t>
      </w:r>
    </w:p>
    <w:p/>
    <w:p/>
    <w:p/>
    <w:p/>
    <w:p/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软件简称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知启云AI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软件类别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应用软件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著作权人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TODO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开发完成日期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TODO（由著作权人确认）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资料整理日期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2026年7月</w:t>
            </w:r>
          </w:p>
        </w:tc>
      </w:tr>
    </w:tbl>
    <w:p>
      <w:pPr>
        <w:spacing w:after="0"/>
      </w:pPr>
    </w:p>
    <w:p>
      <w:pPr>
        <w:spacing w:before="80" w:after="160" w:line="288" w:lineRule="auto"/>
        <w:ind w:left="198" w:right="198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真实性提示 </w:t>
      </w:r>
      <w:r>
        <w:rPr>
          <w:rFonts w:ascii="Calibri" w:hAnsi="Calibri" w:eastAsia="Microsoft YaHei"/>
          <w:color w:val="1F2937"/>
          <w:sz w:val="21"/>
        </w:rPr>
        <w:t>本说明书依据当前仓库整理。公司、法人、备案、算法备案和正式上线日期等未知信息未作虚构。</w:t>
      </w:r>
    </w:p>
    <w:p>
      <w:r>
        <w:br w:type="page"/>
      </w:r>
    </w:p>
    <w:p>
      <w:pPr>
        <w:pStyle w:val="Heading1"/>
      </w:pPr>
      <w:r>
        <w:t>文档控制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记录文档用途、范围和版本统一要求。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文档名称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软件功能说明书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软件全称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知启云AI企业级AI创作与智能体平台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版本号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V1.0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软著申报资料草案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适用终端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Android/iOS App、H5、微信小程序、Web 管理端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数据库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PostgreSQL + Redis</w:t>
            </w:r>
          </w:p>
        </w:tc>
      </w:tr>
    </w:tbl>
    <w:p>
      <w:pPr>
        <w:spacing w:after="0"/>
      </w:pPr>
    </w:p>
    <w:p>
      <w:pPr>
        <w:pStyle w:val="Heading2"/>
      </w:pPr>
      <w:r>
        <w:t>版本记录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3100"/>
        <w:gridCol w:w="292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日期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2026年7月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根据当前代码仓库形成首版功能说明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TODO：正式提交前复核</w:t>
            </w:r>
          </w:p>
        </w:tc>
      </w:tr>
    </w:tbl>
    <w:p>
      <w:pPr>
        <w:pStyle w:val="Heading2"/>
      </w:pPr>
      <w:r>
        <w:t>使用说明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本说明书作为软件著作权文档鉴别材料使用。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所有截图占位必须在正式提交前替换为同一版本真实运行截图。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软著版本 V1.0 与应用商店构建版本 0.2.3 用途不同，不应混写。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功能以仓库真实实现为准，规划功能不作为已交付功能申报。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本目录按说明书结构列示；正文使用 Word 标题样式，打开 Word 后可按需插入自动目录。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522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章节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名称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第一章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软件概述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背景、定位、场景、技术特点、用户角色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第二章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系统架构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用户端、管理端、AI 调用、数据存储、部署与安全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第三章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功能模块说明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15 个核心模块的功能、流程、操作和截图位置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第四章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质量与安全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性能、可靠性、安全、隐私和兼容性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附录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证据与申报说明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代码路径、截图替换和术语</w:t>
            </w:r>
          </w:p>
        </w:tc>
      </w:tr>
    </w:tbl>
    <w:p>
      <w:pPr>
        <w:pStyle w:val="Heading2"/>
      </w:pPr>
      <w:r>
        <w:t>第三章模块索引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3.1 登录注册：功能介绍、业务流程、页面截图位置、操作说明和验收检查。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3.2 首页：功能介绍、业务流程、页面截图位置、操作说明和验收检查。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3.3 AI聊天：功能介绍、业务流程、页面截图位置、操作说明和验收检查。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3.4 AI生图：功能介绍、业务流程、页面截图位置、操作说明和验收检查。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3.5 AI视频：功能介绍、业务流程、页面截图位置、操作说明和验收检查。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3.6 PPT生成：功能介绍、业务流程、页面截图位置、操作说明和验收检查。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3.7 AI画布：功能介绍、业务流程、页面截图位置、操作说明和验收检查。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3.8 智能体：功能介绍、业务流程、页面截图位置、操作说明和验收检查。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3.9 知识库：功能介绍、业务流程、页面截图位置、操作说明和验收检查。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3.10 作品中心：功能介绍、业务流程、页面截图位置、操作说明和验收检查。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3.11 钱包中心：功能介绍、业务流程、页面截图位置、操作说明和验收检查。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3.12 企业管理中心：功能介绍、业务流程、页面截图位置、操作说明和验收检查。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3.13 模型管理：功能介绍、业务流程、页面截图位置、操作说明和验收检查。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3.14 Token计费：功能介绍、业务流程、页面截图位置、操作说明和验收检查。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3.15 权限系统：功能介绍、业务流程、页面截图位置、操作说明和验收检查。</w:t>
      </w:r>
    </w:p>
    <w:p>
      <w:r>
        <w:br w:type="page"/>
      </w:r>
    </w:p>
    <w:p>
      <w:pPr>
        <w:pStyle w:val="Heading1"/>
      </w:pPr>
      <w:r>
        <w:t>第一章 软件概述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说明建设背景、产品定位、应用场景和技术特点。</w:t>
      </w:r>
    </w:p>
    <w:p>
      <w:pPr>
        <w:pStyle w:val="Heading2"/>
      </w:pPr>
      <w:r>
        <w:t>1.1 软件背景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企业和内容创作者通常需要在多个工具之间完成文字构思、图片生成、视频制作、PPT 整理、知识问答和作品管理，账号、模型、文件和费用相互割裂。知启云AI通过统一账号、任务、作品、企业权限和计费链路，将这些能力整合到可跨 App、H5、小程序和 Web 管理端使用的平台中。</w:t>
      </w:r>
    </w:p>
    <w:p>
      <w:pPr>
        <w:pStyle w:val="Heading2"/>
      </w:pPr>
      <w:r>
        <w:t>1.2 建设目标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建立覆盖 AI 对话、生图、视频、PPT、智能体和知识库的统一创作入口。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建立生成任务、作品、文件、会员、Token/算力和订单的业务闭环。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支持企业、组织、成员、角色、AI 员工和知识库的协作管理。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通过统一模型接入、内容审核、审计和租户隔离满足平台治理需要。</w:t>
      </w:r>
    </w:p>
    <w:p>
      <w:pPr>
        <w:spacing w:before="80" w:after="160" w:line="288" w:lineRule="auto"/>
        <w:ind w:left="198" w:right="198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产品原则 </w:t>
      </w:r>
      <w:r>
        <w:rPr>
          <w:rFonts w:ascii="Calibri" w:hAnsi="Calibri" w:eastAsia="Microsoft YaHei"/>
          <w:color w:val="1F2937"/>
          <w:sz w:val="21"/>
        </w:rPr>
        <w:t>游客可浏览，受保护操作按需登录；金额、计费与权益以服务端配置为准。</w:t>
      </w:r>
    </w:p>
    <w:p>
      <w:r>
        <w:br w:type="page"/>
      </w:r>
    </w:p>
    <w:p>
      <w:pPr>
        <w:pStyle w:val="Heading1"/>
      </w:pPr>
      <w:r>
        <w:t>1.3 产品定位与应用场景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个人创作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图片、海报、短视频、PPT 和内容灵感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企业运营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营销素材、产品介绍、活动方案和社媒内容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销售与培训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演示文稿、话术、知识问答和资料复用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企业知识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内部文档摄取、检索、引用和智能体问答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平台治理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用户、租户、模型、渠道、计费、权限和内容审核</w:t>
            </w:r>
          </w:p>
        </w:tc>
      </w:tr>
    </w:tbl>
    <w:p>
      <w:pPr>
        <w:spacing w:after="0"/>
      </w:pPr>
    </w:p>
    <w:p>
      <w:pPr>
        <w:pStyle w:val="Heading2"/>
      </w:pPr>
      <w:r>
        <w:t>1.4 目标用户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游客：浏览公开能力、案例和套餐。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普通用户：创作、管理作品、购买会员和查看钱包。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企业成员：使用企业额度、知识库和 AI 员工。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企业管理员：管理成员、组织、角色、认证和资源。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平台运营/财务/超级管理员：管理模型、渠道、计费、权限和审计。</w:t>
      </w:r>
    </w:p>
    <w:p>
      <w:r>
        <w:br w:type="page"/>
      </w:r>
    </w:p>
    <w:p>
      <w:pPr>
        <w:pStyle w:val="Heading1"/>
      </w:pPr>
      <w:r>
        <w:t>1.5 技术特点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跨端用户端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Vue 3 + TypeScript + uni-app + Vite，一套代码覆盖 App/H5/小程序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SaaS 管理端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Vue 3 + Pinia + Axios + Element Plus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Go 服务端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Go 1.25 + Gin + database/sql，模块化单体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数据与缓存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PostgreSQL + Redis，S3 兼容对象存储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AI 任务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统一模型接入、异步状态、幂等、计费快照和失败补偿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企业治理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租户/组织上下文、RBAC、数据范围和审计日志</w:t>
            </w:r>
          </w:p>
        </w:tc>
      </w:tr>
    </w:tbl>
    <w:p>
      <w:pPr>
        <w:spacing w:after="0"/>
      </w:pPr>
    </w:p>
    <w:p>
      <w:pPr>
        <w:spacing w:before="80" w:after="160" w:line="288" w:lineRule="auto"/>
        <w:ind w:left="198" w:right="198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仓库事实 </w:t>
      </w:r>
      <w:r>
        <w:rPr>
          <w:rFonts w:ascii="Calibri" w:hAnsi="Calibri" w:eastAsia="Microsoft YaHei"/>
          <w:color w:val="1F2937"/>
          <w:sz w:val="21"/>
        </w:rPr>
        <w:t>用户原始需求提到 MySQL，但当前代码使用 pgx/PostgreSQL。本说明书以实际实现为准。</w:t>
      </w:r>
    </w:p>
    <w:p>
      <w:r>
        <w:br w:type="page"/>
      </w:r>
    </w:p>
    <w:p>
      <w:pPr>
        <w:pStyle w:val="Heading1"/>
      </w:pPr>
      <w:r>
        <w:t>1.6 软件范围与边界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本软件不自研基础大模型，而是通过配置接入模型提供方。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AI 输出具有概率性，重要内容需要人工核验。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AI 画布以 PPT/海报集成编辑工作区存在，当前无独立 App 路由。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公司、法人、备案号和第三方服务商主体不从代码推断，统一标记 TODO。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源程序说明和代码鉴别材料以当前工作区冻结前内容为基础。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产品首页或总览图：展示品牌、主要能力和跨端入口。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r>
        <w:br w:type="page"/>
      </w:r>
    </w:p>
    <w:p>
      <w:pPr>
        <w:pStyle w:val="Heading1"/>
      </w:pPr>
      <w:r>
        <w:t>第二章 系统架构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说明客户端、管理端、AI 调用、数据存储和部署安全关系。</w:t>
      </w:r>
    </w:p>
    <w:p>
      <w:pPr>
        <w:pStyle w:val="Heading2"/>
      </w:pPr>
      <w:r>
        <w:t>2.1 总体架构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架构链路 </w:t>
      </w:r>
      <w:r>
        <w:rPr>
          <w:rFonts w:ascii="Calibri" w:hAnsi="Calibri" w:eastAsia="Microsoft YaHei"/>
          <w:color w:val="1F2937"/>
          <w:sz w:val="21"/>
        </w:rPr>
        <w:t>用户端/管理端 → HTTPS API → Gin 路由与业务服务 → PostgreSQL/Redis/对象存储 → AI、支付、短信及企业平台服务。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展示层负责页面、交互和跨端适配。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API Client 负责认证、请求标识、租户上下文和统一错误。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应用服务负责生成、知识库、PPT、支付和企业规则。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仓储与基础设施负责数据持久化、缓存、会话和文件。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外部提供方通过适配层接入，核心业务不直接依赖平台 SDK 类型。</w:t>
      </w:r>
    </w:p>
    <w:p>
      <w:r>
        <w:br w:type="page"/>
      </w:r>
    </w:p>
    <w:p>
      <w:pPr>
        <w:pStyle w:val="Heading1"/>
      </w:pPr>
      <w:r>
        <w:t>2.2 用户端架构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页面层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apps/user-uni/src/pages：登录、创作、作品、钱包、企业、代理与运营页面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组件层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认证、作品、企业、知识问答、合规和 V531 视觉组件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领域层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features/auth、assets、enterprise、payment、promotion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请求层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api/client.ts、files.ts、knowledge.ts、ppt.ts 和共享业务 SDK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平台层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uni-app 条件编译、平台适配器和本地缓存</w:t>
            </w:r>
          </w:p>
        </w:tc>
      </w:tr>
    </w:tbl>
    <w:p>
      <w:pPr>
        <w:spacing w:after="0"/>
      </w:pPr>
    </w:p>
    <w:p>
      <w:pPr>
        <w:spacing w:before="80" w:after="160" w:line="288" w:lineRule="auto"/>
        <w:ind w:left="198" w:right="198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路由规模 </w:t>
      </w:r>
      <w:r>
        <w:rPr>
          <w:rFonts w:ascii="Calibri" w:hAnsi="Calibri" w:eastAsia="Microsoft YaHei"/>
          <w:color w:val="1F2937"/>
          <w:sz w:val="21"/>
        </w:rPr>
        <w:t>当前 pages.json 扫描到 103 个页面路径，App/小程序使用自定义导航和移动安全区域。</w:t>
      </w:r>
    </w:p>
    <w:p>
      <w:r>
        <w:br w:type="page"/>
      </w:r>
    </w:p>
    <w:p>
      <w:pPr>
        <w:pStyle w:val="Heading1"/>
      </w:pPr>
      <w:r>
        <w:t>2.3 管理端架构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技术栈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Vue 3、TypeScript、Vite、Pinia、Axios、Element Plus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导航域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管理总览、客户与企业、商品与计费、AI 与内容、渠道与增长、系统管理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认证、后台数据、AI 设置和 PPT 状态由 Pinia/组合式逻辑管理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API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 Axios Client + 领域 API 模块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安全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角色、菜单、接口、数据范围和审计共同控制</w:t>
            </w:r>
          </w:p>
        </w:tc>
      </w:tr>
    </w:tbl>
    <w:p>
      <w:pPr>
        <w:spacing w:after="0"/>
      </w:pP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管理端总览：左侧导航、顶部身份区、业务指标和待办事项。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r>
        <w:br w:type="page"/>
      </w:r>
    </w:p>
    <w:p>
      <w:pPr>
        <w:pStyle w:val="Heading1"/>
      </w:pPr>
      <w:r>
        <w:t>2.4 AI 能力调用流程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客户端收集提示词、参数和用户主动选择的参考材料。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服务端校验登录、角色、租户、终端能力、模型和套餐。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根据生效计费规则生成报价并预留 Token/算力。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按 client_request_id/请求标识执行幂等检查，创建生成任务。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调用模型提供方；长任务记录排队、运行、成功或失败状态。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对输入输出执行必要内容审核，并为下载/分享结果保留 AI 标识。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成功保存作品并确认扣费；失败释放预留并记录原因。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客户端刷新任务状态并进入作品详情。</w:t>
      </w:r>
    </w:p>
    <w:p>
      <w:pPr>
        <w:spacing w:before="80" w:after="160" w:line="288" w:lineRule="auto"/>
        <w:ind w:left="198" w:right="198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关键控制 </w:t>
      </w:r>
      <w:r>
        <w:rPr>
          <w:rFonts w:ascii="Calibri" w:hAnsi="Calibri" w:eastAsia="Microsoft YaHei"/>
          <w:color w:val="1F2937"/>
          <w:sz w:val="21"/>
        </w:rPr>
        <w:t>任何页面和外部 Connector 都必须复用统一生成、作品和计费链路。</w:t>
      </w:r>
    </w:p>
    <w:p>
      <w:r>
        <w:br w:type="page"/>
      </w:r>
    </w:p>
    <w:p>
      <w:pPr>
        <w:pStyle w:val="Heading1"/>
      </w:pPr>
      <w:r>
        <w:t>2.5 数据存储架构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PostgreSQL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用户、企业、任务、作品、知识库、订单、支付、账本、审计和配置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Redis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认证会话、短信挑战、缓存、队列辅助和分布式锁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对象存储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参考文件、生成作品、知识文档和导出文件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本地存储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客户端令牌、用户上下文和部分草稿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向量检索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PostgreSQL/委托向量服务，按知识库 ACL 和租户范围检索</w:t>
            </w:r>
          </w:p>
        </w:tc>
      </w:tr>
    </w:tbl>
    <w:p>
      <w:pPr>
        <w:spacing w:after="0"/>
      </w:pPr>
    </w:p>
    <w:p>
      <w:pPr>
        <w:pStyle w:val="Heading2"/>
      </w:pPr>
      <w:r>
        <w:t>2.5.1 数据一致性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支付、权益和账本使用事务与幂等键。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历史任务保存计费和模型快照。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私有文件通过权限检查和临时访问地址提供。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企业切换时清理旧租户缓存。</w:t>
      </w:r>
    </w:p>
    <w:p>
      <w:r>
        <w:br w:type="page"/>
      </w:r>
    </w:p>
    <w:p>
      <w:pPr>
        <w:pStyle w:val="Heading1"/>
      </w:pPr>
      <w:r>
        <w:t>2.6 部署与安全架构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生产环境由反向代理/HTTPS、Go API、PostgreSQL、Redis、对象存储和外部模型服务组成。配置通过环境变量或 Secret 注入，仓库不应保存生产密钥。服务端通过恢复、请求上下文、CORS、压缩、认证和审计中间件处理请求。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访问控制：Bearer 会话、RBAC、租户与组织范围。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数据安全：密码散列、Secret 加密/注入、传输加密和私有文件访问控制。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业务安全：限流、请求幂等、支付签名、失败补偿和异常审计。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内容安全：输入、输出、下载和分享阶段的审核与 AI 标识。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可用性：健康检查、超时、重试、状态查询和优雅关闭。</w:t>
      </w:r>
    </w:p>
    <w:p>
      <w:r>
        <w:br w:type="page"/>
      </w:r>
    </w:p>
    <w:p>
      <w:pPr>
        <w:pStyle w:val="Heading1"/>
      </w:pPr>
      <w:r>
        <w:t>第三章 功能模块说明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每个模块包含功能介绍、业务流程、页面截图位置和操作说明。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本章选择 15 个核心模块。模块名称与 V1.0 申报范围统一；页面入口和代码证据来自当前仓库。截图框为提交前替换位置。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3.1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登录注册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3.2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首页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3.3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AI聊天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3.4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AI生图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3.5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AI视频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3.6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PPT生成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3.7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AI画布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3.8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智能体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3.9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知识库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3.10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作品中心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3.11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钱包中心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3.12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企业管理中心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3.13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模型管理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3.14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Token计费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3.15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权限系统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3.1 登录注册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提供手机号验证码、账号密码及微信终端相关登录能力。系统将登录与注册合并，并通过访问令牌、刷新令牌和会话存储维持状态；游客可以先浏览公开功能，受保护操作再触发登录。</w:t>
      </w:r>
    </w:p>
    <w:p>
      <w:pPr>
        <w:pStyle w:val="Heading2"/>
      </w:pPr>
      <w:r>
        <w:t>3.1.1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提供手机号验证码、账号密码及微信终端相关登录能力。系统将登录与注册合并，并通过访问令牌、刷新令牌和会话存储维持状态；游客可以先浏览公开功能，受保护操作再触发登录。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游客、普通用户、企业成员、后台用户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App/小程序登录页；H5 登录入口；管理端登录页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apps/user-uni/src/pages/WechatLoginPage.vue；apps/user-uni/src/features/auth；backend-go/internal/httpserver/auth_*.go</w:t>
            </w:r>
          </w:p>
        </w:tc>
      </w:tr>
    </w:tbl>
    <w:p>
      <w:pPr>
        <w:spacing w:after="0"/>
      </w:pPr>
    </w:p>
    <w:p>
      <w:pPr>
        <w:pStyle w:val="Heading2"/>
      </w:pPr>
      <w:r>
        <w:t>3.1.2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选择登录方式 → 阅读协议 → 身份校验 → 创建/识别账号 → 保存会话 → 恢复原页面或待执行动作</w:t>
      </w:r>
    </w:p>
    <w:p>
      <w:pPr>
        <w:pStyle w:val="Heading2"/>
      </w:pPr>
      <w:r>
        <w:t>3.1.3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手机号验证码登录与自动注册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手机号/账号密码登录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微信手机号快捷登录与账号绑定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刷新令牌、退出当前账号与退出全部设备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登录前草稿和目标页面恢复</w:t>
      </w:r>
    </w:p>
    <w:p>
      <w:r>
        <w:br w:type="page"/>
      </w:r>
    </w:p>
    <w:p>
      <w:pPr>
        <w:pStyle w:val="Heading1"/>
      </w:pPr>
      <w:r>
        <w:t>3.1.4 登录注册操作说明与截图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打开应用并进入登录页面。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选择验证码、账号密码或微信快捷登录。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阅读并同意用户协议和隐私政策。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提交凭证并等待系统完成身份校验。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登录成功后进入原目标页面；失败时按错误提示重试。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登录页：品牌区、登录方式、协议勾选、游客浏览和错误提示。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未同意协议时不得提交登录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密码不在客户端或服务端日志中输出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401 刷新失败后进入统一登录门禁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正式上架前补齐账号注销入口</w:t>
      </w:r>
    </w:p>
    <w:p>
      <w:r>
        <w:br w:type="page"/>
      </w:r>
    </w:p>
    <w:p>
      <w:pPr>
        <w:pStyle w:val="Heading1"/>
      </w:pPr>
      <w:r>
        <w:t>3.2 首页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首页是用户端的统一入口，展示品牌信息、创作能力、公开案例、套餐信息、最近作品和不同角色的工作台入口。页面按 App、H5、小程序终端适配布局。</w:t>
      </w:r>
    </w:p>
    <w:p>
      <w:pPr>
        <w:pStyle w:val="Heading2"/>
      </w:pPr>
      <w:r>
        <w:t>3.2.1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首页是用户端的统一入口，展示品牌信息、创作能力、公开案例、套餐信息、最近作品和不同角色的工作台入口。页面按 App、H5、小程序终端适配布局。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游客、普通用户、企业成员、代理商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pages/user/UserHomePage；V531HomePage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apps/user-uni/src/pages/user/UserHomePage.vue；apps/user-uni/src/components/v531/V531HomePage.vue；/api/v1/public/home</w:t>
            </w:r>
          </w:p>
        </w:tc>
      </w:tr>
    </w:tbl>
    <w:p>
      <w:pPr>
        <w:spacing w:after="0"/>
      </w:pPr>
    </w:p>
    <w:p>
      <w:pPr>
        <w:pStyle w:val="Heading2"/>
      </w:pPr>
      <w:r>
        <w:t>3.2.2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进入首页 → 加载公开目录与账号概览 → 选择创作/作品/企业/我的 → 进入对应业务页面</w:t>
      </w:r>
    </w:p>
    <w:p>
      <w:pPr>
        <w:pStyle w:val="Heading2"/>
      </w:pPr>
      <w:r>
        <w:t>3.2.3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公开能力和案例浏览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创作入口聚合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最近作品和任务摘要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会员与企业状态展示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角色工作台与底部导航</w:t>
      </w:r>
    </w:p>
    <w:p>
      <w:r>
        <w:br w:type="page"/>
      </w:r>
    </w:p>
    <w:p>
      <w:pPr>
        <w:pStyle w:val="Heading1"/>
      </w:pPr>
      <w:r>
        <w:t>3.2.4 首页操作说明与截图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启动应用进入首页。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浏览创作能力与推荐内容。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点击能力卡进入创作页面。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通过底部导航切换创作、作品和个人中心。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需要登录的操作由统一门禁接管。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首页：品牌 Logo、能力卡片、推荐区和底部导航。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游客页面不读取私人作品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公开目录接口失败时显示可恢复错误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App 安全区域与底部导航不遮挡内容</w:t>
      </w:r>
    </w:p>
    <w:p>
      <w:r>
        <w:br w:type="page"/>
      </w:r>
    </w:p>
    <w:p>
      <w:pPr>
        <w:pStyle w:val="Heading1"/>
      </w:pPr>
      <w:r>
        <w:t>3.3 AI聊天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AI 聊天通过智能体或知识库会话提供多轮问答。用户可创建会话、提交问题、查看回复和历史消息；知识增强模式同时展示检索引用。</w:t>
      </w:r>
    </w:p>
    <w:p>
      <w:pPr>
        <w:pStyle w:val="Heading2"/>
      </w:pPr>
      <w:r>
        <w:t>3.3.1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AI 聊天通过智能体或知识库会话提供多轮问答。用户可创建会话、提交问题、查看回复和历史消息；知识增强模式同时展示检索引用。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普通用户、企业成员、知识库使用者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KnowledgeMiniChat；KnowledgeAgentCenter；Agent 对话工作区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apps/user-uni/src/components/KnowledgeMiniChat.vue；backend-go/internal/app/knowledge/rag_service.go</w:t>
            </w:r>
          </w:p>
        </w:tc>
      </w:tr>
    </w:tbl>
    <w:p>
      <w:pPr>
        <w:spacing w:after="0"/>
      </w:pPr>
    </w:p>
    <w:p>
      <w:pPr>
        <w:pStyle w:val="Heading2"/>
      </w:pPr>
      <w:r>
        <w:t>3.3.2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选择智能体 → 新建/打开会话 → 提交问题 → 服务端检索上下文/调用模型 → 保存消息与引用 → 返回回答</w:t>
      </w:r>
    </w:p>
    <w:p>
      <w:pPr>
        <w:pStyle w:val="Heading2"/>
      </w:pPr>
      <w:r>
        <w:t>3.3.3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多轮会话和历史记录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草稿本地保存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知识库检索增强回答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引用片段展示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运行取消、失败重试和状态查询</w:t>
      </w:r>
    </w:p>
    <w:p>
      <w:r>
        <w:br w:type="page"/>
      </w:r>
    </w:p>
    <w:p>
      <w:pPr>
        <w:pStyle w:val="Heading1"/>
      </w:pPr>
      <w:r>
        <w:t>3.3.4 AI聊天操作说明与截图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进入智能体或知识问答页面。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选择一个有权访问的智能体。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创建新对话或打开历史对话。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输入问题并发送。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查看回答、引用和运行状态，继续追问。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AI 对话页：会话历史、消息气泡、输入框、发送按钮和引用标签。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不同用户和企业会话隔离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引用必须来自授权知识库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模型失败时保留问题并允许重试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高风险回答提示人工核验</w:t>
      </w:r>
    </w:p>
    <w:p>
      <w:r>
        <w:br w:type="page"/>
      </w:r>
    </w:p>
    <w:p>
      <w:pPr>
        <w:pStyle w:val="Heading1"/>
      </w:pPr>
      <w:r>
        <w:t>3.4 AI生图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AI 生图支持文字描述和参考图片输入。用户可选择用途、比例、质量和模型，由服务端创建异步任务、执行内容审核、调用图像模型并保存作品。</w:t>
      </w:r>
    </w:p>
    <w:p>
      <w:pPr>
        <w:pStyle w:val="Heading2"/>
      </w:pPr>
      <w:r>
        <w:t>3.4.1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AI 生图支持文字描述和参考图片输入。用户可选择用途、比例、质量和模型，由服务端创建异步任务、执行内容审核、调用图像模型并保存作品。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普通用户、企业成员、创作者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pages/user/UserImageCreationPage；创作中心图像工作区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apps/user-uni/src/components/MiniProgramRoleWorkbench.vue；backend-go/internal/app/generation；image provider</w:t>
            </w:r>
          </w:p>
        </w:tc>
      </w:tr>
    </w:tbl>
    <w:p>
      <w:pPr>
        <w:spacing w:after="0"/>
      </w:pPr>
    </w:p>
    <w:p>
      <w:pPr>
        <w:pStyle w:val="Heading2"/>
      </w:pPr>
      <w:r>
        <w:t>3.4.2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填写提示词/选择参考图 → 参数校验与费用预估 → 登录/权限校验 → 创建任务 → 模型生成 → 内容审核 → 保存作品</w:t>
      </w:r>
    </w:p>
    <w:p>
      <w:pPr>
        <w:pStyle w:val="Heading2"/>
      </w:pPr>
      <w:r>
        <w:t>3.4.3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文生图与参考图生图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图片比例、质量和模型选择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参考图上传与预览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任务进度、失败重试和取消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结果预览、收藏、下载和再创作</w:t>
      </w:r>
    </w:p>
    <w:p>
      <w:r>
        <w:br w:type="page"/>
      </w:r>
    </w:p>
    <w:p>
      <w:pPr>
        <w:pStyle w:val="Heading1"/>
      </w:pPr>
      <w:r>
        <w:t>3.4.4 AI生图操作说明与截图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进入 AI 生图页面。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输入主题、用途和画面要求。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按需选择相册或相机中的参考图。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确认模型、比例和预计消耗后提交。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在任务或作品区域查看并处理结果。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AI 生图页：参考图区、提示词、参数标签、生成按钮与任务状态。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参考图仅在用户主动选择后上传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金额与额度由服务端配置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相机/相册拒绝后其他功能可用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生成内容保留 AI 标识</w:t>
      </w:r>
    </w:p>
    <w:p>
      <w:r>
        <w:br w:type="page"/>
      </w:r>
    </w:p>
    <w:p>
      <w:pPr>
        <w:pStyle w:val="Heading1"/>
      </w:pPr>
      <w:r>
        <w:t>3.5 AI视频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AI 视频模块将文字或参考图转换为异步视频生成任务。系统统一记录模型、参数、任务状态、费用快照和结果文件。</w:t>
      </w:r>
    </w:p>
    <w:p>
      <w:pPr>
        <w:pStyle w:val="Heading2"/>
      </w:pPr>
      <w:r>
        <w:t>3.5.1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AI 视频模块将文字或参考图转换为异步视频生成任务。系统统一记录模型、参数、任务状态、费用快照和结果文件。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普通用户、企业成员、视频创作者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pages/user/UserVideoCreationPage；创作中心视频工作区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apps/user-uni/src/pages/user/UserVideoCreationPage.vue；backend-go/internal/provider/video；generation tasks API</w:t>
            </w:r>
          </w:p>
        </w:tc>
      </w:tr>
    </w:tbl>
    <w:p>
      <w:pPr>
        <w:spacing w:after="0"/>
      </w:pPr>
    </w:p>
    <w:p>
      <w:pPr>
        <w:pStyle w:val="Heading2"/>
      </w:pPr>
      <w:r>
        <w:t>3.5.2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输入脚本/参考图 → 选择比例与时长 → 创建任务并预留额度 → 视频模型执行 → 状态轮询 → 保存作品/失败补偿</w:t>
      </w:r>
    </w:p>
    <w:p>
      <w:pPr>
        <w:pStyle w:val="Heading2"/>
      </w:pPr>
      <w:r>
        <w:t>3.5.3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文生视频与图生视频入口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比例、时长、清晰度参数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异步进度和状态管理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视频预览、下载和保存相册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失败重试与额度释放</w:t>
      </w:r>
    </w:p>
    <w:p>
      <w:r>
        <w:br w:type="page"/>
      </w:r>
    </w:p>
    <w:p>
      <w:pPr>
        <w:pStyle w:val="Heading1"/>
      </w:pPr>
      <w:r>
        <w:t>3.5.4 AI视频操作说明与截图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进入视频生成页面。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输入视频主题、镜头和动作描述。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按页面能力上传参考图并选择参数。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提交任务并等待生成。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完成后预览、下载或进入作品中心。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视频生成页：提示词、参考图、参数选择、生成按钮和结果卡片。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长任务不阻塞页面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重复点击不重复创建和扣费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保存视频时按需申请媒体权限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失败状态可追踪</w:t>
      </w:r>
    </w:p>
    <w:p>
      <w:r>
        <w:br w:type="page"/>
      </w:r>
    </w:p>
    <w:p>
      <w:pPr>
        <w:pStyle w:val="Heading1"/>
      </w:pPr>
      <w:r>
        <w:t>3.6 PPT生成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PPT 模块通过主题理解、大纲生成、页面内容生成、视觉计划、页面编辑和文件导出形成完整流程。服务端保留任务、演示文稿和幻灯片级状态。</w:t>
      </w:r>
    </w:p>
    <w:p>
      <w:pPr>
        <w:pStyle w:val="Heading2"/>
      </w:pPr>
      <w:r>
        <w:t>3.6.1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PPT 模块通过主题理解、大纲生成、页面内容生成、视觉计划、页面编辑和文件导出形成完整流程。服务端保留任务、演示文稿和幻灯片级状态。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普通用户、企业成员、培训和销售人员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pages/user/UserPptCreationPage；UserPptEditorPage；管理端 PPT 工作台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apps/user-uni/src/pages/user/UserPpt*.vue；backend-go/internal/app/ppt；/api/v1/ppt/*</w:t>
            </w:r>
          </w:p>
        </w:tc>
      </w:tr>
    </w:tbl>
    <w:p>
      <w:pPr>
        <w:spacing w:after="0"/>
      </w:pPr>
    </w:p>
    <w:p>
      <w:pPr>
        <w:pStyle w:val="Heading2"/>
      </w:pPr>
      <w:r>
        <w:t>3.6.2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输入主题 → 费用预估 → 生成/编辑大纲 → 创建任务 → 生成页面与配图 → 在线编辑 → 导出 PPTX/PDF</w:t>
      </w:r>
    </w:p>
    <w:p>
      <w:pPr>
        <w:pStyle w:val="Heading2"/>
      </w:pPr>
      <w:r>
        <w:t>3.6.3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主题和受众输入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大纲生成、保存和修改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主题模板与页面结构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幻灯片视觉生成、替换、删除和恢复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PPTX/PDF 导出和历史任务</w:t>
      </w:r>
    </w:p>
    <w:p>
      <w:r>
        <w:br w:type="page"/>
      </w:r>
    </w:p>
    <w:p>
      <w:pPr>
        <w:pStyle w:val="Heading1"/>
      </w:pPr>
      <w:r>
        <w:t>3.6.4 PPT生成操作说明与截图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输入演示主题、受众、页数和风格。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生成并检查大纲。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修改章节后提交生成任务。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在编辑器调整页面文字和配图。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确认后导出 PPTX 或 PDF。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PPT 创建页或编辑器：大纲、主题、页面预览、配图和导出入口。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大纲与页面内容分阶段保存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视觉提示不混入正文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导出任务可查询和重试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历史演示文稿保持可读</w:t>
      </w:r>
    </w:p>
    <w:p>
      <w:r>
        <w:br w:type="page"/>
      </w:r>
    </w:p>
    <w:p>
      <w:pPr>
        <w:pStyle w:val="Heading1"/>
      </w:pPr>
      <w:r>
        <w:t>3.7 AI画布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AI 画布在当前版本中以集成式视觉编辑工作区存在，主要覆盖 PPT 幻灯片元素、配图替换、页面预览和海报绘制。仓库未发现独立名为“AI画布”的 App 路由，因此说明书按真实集成功能描述。</w:t>
      </w:r>
    </w:p>
    <w:p>
      <w:pPr>
        <w:pStyle w:val="Heading2"/>
      </w:pPr>
      <w:r>
        <w:t>3.7.1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AI 画布在当前版本中以集成式视觉编辑工作区存在，主要覆盖 PPT 幻灯片元素、配图替换、页面预览和海报绘制。仓库未发现独立名为“AI画布”的 App 路由，因此说明书按真实集成功能描述。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创作者、PPT 编辑人员、运营人员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UserPptEditorPage；PptSlideEditor；PromotionPosterCanvas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apps/user-uni/src/pages/user/UserPptEditorPage.vue；admin-vue/src/components/ppt；PromotionPosterCanvas.vue</w:t>
            </w:r>
          </w:p>
        </w:tc>
      </w:tr>
    </w:tbl>
    <w:p>
      <w:pPr>
        <w:spacing w:after="0"/>
      </w:pPr>
    </w:p>
    <w:p>
      <w:pPr>
        <w:pStyle w:val="Heading2"/>
      </w:pPr>
      <w:r>
        <w:t>3.7.2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打开作品/幻灯片 → 选择页面或视觉元素 → 编辑内容/替换素材 → 预览 → 保存版本 → 导出或继续创作</w:t>
      </w:r>
    </w:p>
    <w:p>
      <w:pPr>
        <w:pStyle w:val="Heading2"/>
      </w:pPr>
      <w:r>
        <w:t>3.7.3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幻灯片页面选择与预览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页面文字和结构调整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配图选择、生成、删除与恢复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海报画布渲染与预览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编辑结果保存和导出</w:t>
      </w:r>
    </w:p>
    <w:p>
      <w:r>
        <w:br w:type="page"/>
      </w:r>
    </w:p>
    <w:p>
      <w:pPr>
        <w:pStyle w:val="Heading1"/>
      </w:pPr>
      <w:r>
        <w:t>3.7.4 AI画布操作说明与截图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从 PPT 结果进入编辑器。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选择需要修改的页面。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编辑文字、主题或视觉素材。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预览页面并保存修改。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继续编辑其他页面或导出文件。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实际 PPT 编辑器/海报画布页面，不使用未实现的独立画布设计稿。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不把规划模块表述为独立已上线功能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替换视觉后保留版本和恢复能力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移动端触摸操作不拦截页面主滚动</w:t>
      </w:r>
    </w:p>
    <w:p>
      <w:r>
        <w:br w:type="page"/>
      </w:r>
    </w:p>
    <w:p>
      <w:pPr>
        <w:pStyle w:val="Heading1"/>
      </w:pPr>
      <w:r>
        <w:t>3.8 智能体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智能体模块以模型、提示规则、知识库、企业权限和会话运行组合业务助手。用户端负责选择和使用，企业端负责创建 AI 员工、配置和成员授权。</w:t>
      </w:r>
    </w:p>
    <w:p>
      <w:pPr>
        <w:pStyle w:val="Heading2"/>
      </w:pPr>
      <w:r>
        <w:t>3.8.1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智能体模块以模型、提示规则、知识库、企业权限和会话运行组合业务助手。用户端负责选择和使用，企业端负责创建 AI 员工、配置和成员授权。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普通用户、企业成员、企业管理员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UserAgentCreationPage；UserKnowledgeAgentDetailPage；企业 AI 员工页面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apps/user-uni/src/pages/user/UserAgentCreationPage.vue；enterprise AI employee pages；knowledge agents API</w:t>
            </w:r>
          </w:p>
        </w:tc>
      </w:tr>
    </w:tbl>
    <w:p>
      <w:pPr>
        <w:spacing w:after="0"/>
      </w:pPr>
    </w:p>
    <w:p>
      <w:pPr>
        <w:pStyle w:val="Heading2"/>
      </w:pPr>
      <w:r>
        <w:t>3.8.2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浏览智能体 → 查看详情与权限 → 创建会话/任务 → 调用模型与知识库 → 保存运行结果 → 反馈或再次调用</w:t>
      </w:r>
    </w:p>
    <w:p>
      <w:pPr>
        <w:pStyle w:val="Heading2"/>
      </w:pPr>
      <w:r>
        <w:t>3.8.3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智能体目录与详情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创建/配置企业 AI 员工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模型和知识库绑定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会话与任务运行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调用状态、引用和反馈记录</w:t>
      </w:r>
    </w:p>
    <w:p>
      <w:r>
        <w:br w:type="page"/>
      </w:r>
    </w:p>
    <w:p>
      <w:pPr>
        <w:pStyle w:val="Heading1"/>
      </w:pPr>
      <w:r>
        <w:t>3.8.4 智能体操作说明与截图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进入智能体中心。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查看智能体说明并选择可用项。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进入详情或新建会话。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提交任务并查看回复或作品。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企业管理员在企业中心维护配置和权限。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智能体列表/详情及会话入口；企业 AI 员工配置页面。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智能体只能访问授权知识库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会话按用户和企业隔离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外部 Connector 不绕过统一任务和计费链路</w:t>
      </w:r>
    </w:p>
    <w:p>
      <w:r>
        <w:br w:type="page"/>
      </w:r>
    </w:p>
    <w:p>
      <w:pPr>
        <w:pStyle w:val="Heading1"/>
      </w:pPr>
      <w:r>
        <w:t>3.9 知识库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知识库提供多租户资料管理、文档摄取、分块、检索、向量化、智能体绑定、对话运行和引用追踪。管理端和用户端通过权限范围访问。</w:t>
      </w:r>
    </w:p>
    <w:p>
      <w:pPr>
        <w:pStyle w:val="Heading2"/>
      </w:pPr>
      <w:r>
        <w:t>3.9.1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知识库提供多租户资料管理、文档摄取、分块、检索、向量化、智能体绑定、对话运行和引用追踪。管理端和用户端通过权限范围访问。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企业管理员、知识库管理员、授权成员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KnowledgeAdminCenter；KnowledgeAgentCenter；KnowledgeMiniChat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backend-go/internal/app/knowledge；backend-go/internal/repository/knowledge；database/migrations/033-036</w:t>
            </w:r>
          </w:p>
        </w:tc>
      </w:tr>
    </w:tbl>
    <w:p>
      <w:pPr>
        <w:spacing w:after="0"/>
      </w:pPr>
    </w:p>
    <w:p>
      <w:pPr>
        <w:pStyle w:val="Heading2"/>
      </w:pPr>
      <w:r>
        <w:t>3.9.2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创建知识库 → 上传文档 → 解析/切分/索引 → 配置 ACL 与智能体绑定 → 提问检索 → 生成带引用回答</w:t>
      </w:r>
    </w:p>
    <w:p>
      <w:pPr>
        <w:pStyle w:val="Heading2"/>
      </w:pPr>
      <w:r>
        <w:t>3.9.3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知识库、标签和分类管理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文档摄取、状态和删除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分块与向量检索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ACL 与租户隔离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RAG 会话、运行、事件和引用</w:t>
      </w:r>
    </w:p>
    <w:p>
      <w:r>
        <w:br w:type="page"/>
      </w:r>
    </w:p>
    <w:p>
      <w:pPr>
        <w:pStyle w:val="Heading1"/>
      </w:pPr>
      <w:r>
        <w:t>3.9.4 知识库操作说明与截图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管理员创建知识库。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上传具有合法来源的文档。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等待解析、切分和索引完成。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绑定智能体并配置访问范围。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用户提问并核验回答引用。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管理端知识库文档列表、摄取状态和用户端带引用回答。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跨租户不可检索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删除文档后不再用于新检索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引用包含来源标识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OCR/向量提供方按最小必要处理</w:t>
      </w:r>
    </w:p>
    <w:p>
      <w:r>
        <w:br w:type="page"/>
      </w:r>
    </w:p>
    <w:p>
      <w:pPr>
        <w:pStyle w:val="Heading1"/>
      </w:pPr>
      <w:r>
        <w:t>3.10 作品中心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作品中心统一管理生成任务和图片、视频、PPT 等成果，支持筛选、详情、收藏、下载、归档、恢复、删除、项目移动和再次创作。</w:t>
      </w:r>
    </w:p>
    <w:p>
      <w:pPr>
        <w:pStyle w:val="Heading2"/>
      </w:pPr>
      <w:r>
        <w:t>3.10.1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作品中心统一管理生成任务和图片、视频、PPT 等成果，支持筛选、详情、收藏、下载、归档、恢复、删除、项目移动和再次创作。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普通用户、企业成员、创作者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UserAssetsPage；UserAssetsListPage；UserAssetDetailPage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apps/user-uni/src/components/assets；backend-go/internal/httpserver/asset_center_api.go；file_center_api.go</w:t>
            </w:r>
          </w:p>
        </w:tc>
      </w:tr>
    </w:tbl>
    <w:p>
      <w:pPr>
        <w:spacing w:after="0"/>
      </w:pPr>
    </w:p>
    <w:p>
      <w:pPr>
        <w:pStyle w:val="Heading2"/>
      </w:pPr>
      <w:r>
        <w:t>3.10.2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读取资产概览 → 按类型/状态筛选 → 打开详情 → 下载/收藏/归档/删除/再创作 → 服务端更新资产状态</w:t>
      </w:r>
    </w:p>
    <w:p>
      <w:pPr>
        <w:pStyle w:val="Heading2"/>
      </w:pPr>
      <w:r>
        <w:t>3.10.3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作品类型与状态筛选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生成任务队列和错误状态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作品详情与缩略图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收藏、归档、恢复和项目管理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受控下载与再次创作</w:t>
      </w:r>
    </w:p>
    <w:p>
      <w:r>
        <w:br w:type="page"/>
      </w:r>
    </w:p>
    <w:p>
      <w:pPr>
        <w:pStyle w:val="Heading1"/>
      </w:pPr>
      <w:r>
        <w:t>3.10.4 作品中心操作说明与截图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进入“我的作品”。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选择类型、状态或项目进行筛选。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打开作品查看详情。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执行下载、收藏、归档或再次创作。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在任务列表处理失败或待完成任务。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作品网格、筛选标签、任务状态和详情操作。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只返回当前用户/企业授权资产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私有文件使用受控地址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永久删除需要明确确认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下载内容保持 AI 标识</w:t>
      </w:r>
    </w:p>
    <w:p>
      <w:r>
        <w:br w:type="page"/>
      </w:r>
    </w:p>
    <w:p>
      <w:pPr>
        <w:pStyle w:val="Heading1"/>
      </w:pPr>
      <w:r>
        <w:t>3.11 钱包中心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钱包中心展示 Token、算力、积分、会员权益、消费记录、订单、退款和发票。商品和价格以服务端配置为唯一依据，客户端不直接修改余额或权益。</w:t>
      </w:r>
    </w:p>
    <w:p>
      <w:pPr>
        <w:pStyle w:val="Heading2"/>
      </w:pPr>
      <w:r>
        <w:t>3.11.1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钱包中心展示 Token、算力、积分、会员权益、消费记录、订单、退款和发票。商品和价格以服务端配置为唯一依据，客户端不直接修改余额或权益。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普通用户、企业成员、财务相关用户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UserWalletPage；UserRechargePlansPage；UserOrdersPage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apps/user-uni/src/features/payment；backend-go/internal/app/payment；wechat_virtual_entitlements.go</w:t>
            </w:r>
          </w:p>
        </w:tc>
      </w:tr>
    </w:tbl>
    <w:p>
      <w:pPr>
        <w:spacing w:after="0"/>
      </w:pPr>
    </w:p>
    <w:p>
      <w:pPr>
        <w:pStyle w:val="Heading2"/>
      </w:pPr>
      <w:r>
        <w:t>3.11.2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读取钱包与商品 → 选择服务端商品 → 创建订单 → 渠道支付 → 服务端查单/回调 → 幂等发放权益 → 展示流水</w:t>
      </w:r>
    </w:p>
    <w:p>
      <w:pPr>
        <w:pStyle w:val="Heading2"/>
      </w:pPr>
      <w:r>
        <w:t>3.11.3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钱包与 Token/算力余额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会员套餐和权益说明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订单确认、结果和明细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消费记录、退款与发票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支付状态同步和异常补偿</w:t>
      </w:r>
    </w:p>
    <w:p>
      <w:r>
        <w:br w:type="page"/>
      </w:r>
    </w:p>
    <w:p>
      <w:pPr>
        <w:pStyle w:val="Heading1"/>
      </w:pPr>
      <w:r>
        <w:t>3.11.4 钱包中心操作说明与截图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进入钱包或会员页面。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查看余额、权益和商品。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选择商品并核对服务端价格。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确认订单并在支持终端完成支付。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返回应用查看订单和权益状态。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钱包余额、会员权益、服务端商品、订单和消费流水。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客户端不能上传决定金额和权益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支付回调具备签名校验和幂等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失败不产生部分权益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不要求审核人员真实支付</w:t>
      </w:r>
    </w:p>
    <w:p>
      <w:r>
        <w:br w:type="page"/>
      </w:r>
    </w:p>
    <w:p>
      <w:pPr>
        <w:pStyle w:val="Heading1"/>
      </w:pPr>
      <w:r>
        <w:t>3.12 企业管理中心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企业中心覆盖企业创建与加入、空间切换、组织、成员、角色、AI 员工、企业算力、认证、Connector、服务状态和审计日志。</w:t>
      </w:r>
    </w:p>
    <w:p>
      <w:pPr>
        <w:pStyle w:val="Heading2"/>
      </w:pPr>
      <w:r>
        <w:t>3.12.1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企业中心覆盖企业创建与加入、空间切换、组织、成员、角色、AI 员工、企业算力、认证、Connector、服务状态和审计日志。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企业所有者、企业管理员、企业成员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pages/enterprise/*；EnterpriseCenterScreen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apps/user-uni/src/pages/enterprise；backend-go/internal/httpserver/enterprise_*；migrations/040、044</w:t>
            </w:r>
          </w:p>
        </w:tc>
      </w:tr>
    </w:tbl>
    <w:p>
      <w:pPr>
        <w:spacing w:after="0"/>
      </w:pPr>
    </w:p>
    <w:p>
      <w:pPr>
        <w:pStyle w:val="Heading2"/>
      </w:pPr>
      <w:r>
        <w:t>3.12.2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创建/加入企业 → 选择当前企业 → 管理组织与成员 → 分配角色/额度 → 使用企业 AI 资源 → 审计与设置</w:t>
      </w:r>
    </w:p>
    <w:p>
      <w:pPr>
        <w:pStyle w:val="Heading2"/>
      </w:pPr>
      <w:r>
        <w:t>3.12.3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企业创建、加入和工作空间切换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组织树、成员、邀请与审核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角色与数据范围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AI 员工、知识库和企业算力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认证、Connector、服务状态和审计</w:t>
      </w:r>
    </w:p>
    <w:p>
      <w:r>
        <w:br w:type="page"/>
      </w:r>
    </w:p>
    <w:p>
      <w:pPr>
        <w:pStyle w:val="Heading1"/>
      </w:pPr>
      <w:r>
        <w:t>3.12.4 企业管理中心操作说明与截图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从“我的”进入企业中心。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创建企业、申请加入或切换企业。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管理员维护组织和成员。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分配角色、AI 员工和资源额度。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查看使用明细、认证和审计日志。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企业概览及成员/组织/额度管理页面。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企业上下文由认证身份确定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跨企业数据不可读写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认证材料只对授权角色可见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高风险调整保留审计原因</w:t>
      </w:r>
    </w:p>
    <w:p>
      <w:r>
        <w:br w:type="page"/>
      </w:r>
    </w:p>
    <w:p>
      <w:pPr>
        <w:pStyle w:val="Heading1"/>
      </w:pPr>
      <w:r>
        <w:t>3.13 模型管理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模型管理统一配置 AI 能力模块、模型、参数 Schema、套餐开放范围、租户限制、上游渠道、合规状态和调用日志。业务页面不直接保存供应商密钥。</w:t>
      </w:r>
    </w:p>
    <w:p>
      <w:pPr>
        <w:pStyle w:val="Heading2"/>
      </w:pPr>
      <w:r>
        <w:t>3.13.1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模型管理统一配置 AI 能力模块、模型、参数 Schema、套餐开放范围、租户限制、上游渠道、合规状态和调用日志。业务页面不直接保存供应商密钥。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超级管理员、平台运营、AI 平台管理员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管理端“AI 与内容—AI 能力配置/接入与调用治理”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admin-vue/src/components/ai/AiCapabilityDomain.vue；/api/v1/admin/ai/*；api/provider-channels</w:t>
            </w:r>
          </w:p>
        </w:tc>
      </w:tr>
    </w:tbl>
    <w:p>
      <w:pPr>
        <w:spacing w:after="0"/>
      </w:pPr>
    </w:p>
    <w:p>
      <w:pPr>
        <w:pStyle w:val="Heading2"/>
      </w:pPr>
      <w:r>
        <w:t>3.13.2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新增上游渠道 → 测试连接/拉取模型 → 登记模型与能力 → 配置参数和范围 → 发布启用 → 监控调用与成本</w:t>
      </w:r>
    </w:p>
    <w:p>
      <w:pPr>
        <w:pStyle w:val="Heading2"/>
      </w:pPr>
      <w:r>
        <w:t>3.13.3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图像、视频、文本和 PPT 模型管理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能力代码与模型绑定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参数 Schema 和默认值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套餐/租户/终端限制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渠道测试、Fallback、合规信息和日志</w:t>
      </w:r>
    </w:p>
    <w:p>
      <w:r>
        <w:br w:type="page"/>
      </w:r>
    </w:p>
    <w:p>
      <w:pPr>
        <w:pStyle w:val="Heading1"/>
      </w:pPr>
      <w:r>
        <w:t>3.13.4 模型管理操作说明与截图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进入 AI 能力配置。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新增或选择上游 API 渠道。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测试连接并获取模型列表。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配置模型能力、参数和开放范围。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启用后观察调用、成本和错误日志。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模型列表、能力绑定、Schema、渠道状态和调用日志。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密钥加密或由 Secret 注入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前端不回显完整密钥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未通过合规状态的模型不向受限终端开放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Fallback 仍走统一计费</w:t>
      </w:r>
    </w:p>
    <w:p>
      <w:r>
        <w:br w:type="page"/>
      </w:r>
    </w:p>
    <w:p>
      <w:pPr>
        <w:pStyle w:val="Heading1"/>
      </w:pPr>
      <w:r>
        <w:t>3.14 Token计费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Token 计费模块维护商品、价格、规则版本、模型成本、钱包账本、生命周期事件和对账记录。生成任务在创建时冻结或预留额度，成功确认扣费，失败释放。</w:t>
      </w:r>
    </w:p>
    <w:p>
      <w:pPr>
        <w:pStyle w:val="Heading2"/>
      </w:pPr>
      <w:r>
        <w:t>3.14.1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Token 计费模块维护商品、价格、规则版本、模型成本、钱包账本、生命周期事件和对账记录。生成任务在创建时冻结或预留额度，成功确认扣费，失败释放。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平台运营、财务人员、超级管理员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管理端“商品与计费—定价与成本/账务与对账”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backend-go/internal/httpserver/billing_v1_*；database/migrations/048；admin-vue/src/components/billing</w:t>
            </w:r>
          </w:p>
        </w:tc>
      </w:tr>
    </w:tbl>
    <w:p>
      <w:pPr>
        <w:spacing w:after="0"/>
      </w:pPr>
    </w:p>
    <w:p>
      <w:pPr>
        <w:pStyle w:val="Heading2"/>
      </w:pPr>
      <w:r>
        <w:t>3.14.2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读取生效规则 → 任务报价 → 预留额度 → 调用上游 → 成功确认/失败释放 → 写入账本与事件 → 对账</w:t>
      </w:r>
    </w:p>
    <w:p>
      <w:pPr>
        <w:pStyle w:val="Heading2"/>
      </w:pPr>
      <w:r>
        <w:t>3.14.3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计费规则版本和生效范围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用户价格与上游成本快照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钱包预留、确认、释放和退款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任务与账本关联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异常事件、对账和人工处理</w:t>
      </w:r>
    </w:p>
    <w:p>
      <w:r>
        <w:br w:type="page"/>
      </w:r>
    </w:p>
    <w:p>
      <w:pPr>
        <w:pStyle w:val="Heading1"/>
      </w:pPr>
      <w:r>
        <w:t>3.14.4 Token计费操作说明与截图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进入计费规则维护页面。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新增规则并设置适用模块、模型和范围。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发布后用测试任务验证报价。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查看任务扣费、成本和利润。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在对账页面处理异常记录。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计费规则列表、钱包账本、任务费用和对账状态。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历史任务保留原规则快照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金额以整数最小货币单位存储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账本不可直接覆盖余额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重复请求不重复扣费</w:t>
      </w:r>
    </w:p>
    <w:p>
      <w:r>
        <w:br w:type="page"/>
      </w:r>
    </w:p>
    <w:p>
      <w:pPr>
        <w:pStyle w:val="Heading1"/>
      </w:pPr>
      <w:r>
        <w:t>3.15 权限系统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权限系统结合后台角色、菜单权限、接口权限、数据范围及企业租户/组织上下文。用户端的角色切换和后台模块导航均根据授权结果生成。</w:t>
      </w:r>
    </w:p>
    <w:p>
      <w:pPr>
        <w:pStyle w:val="Heading2"/>
      </w:pPr>
      <w:r>
        <w:t>3.15.1 功能介绍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权限系统结合后台角色、菜单权限、接口权限、数据范围及企业租户/组织上下文。用户端的角色切换和后台模块导航均根据授权结果生成。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适用角色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超级管理员、平台运营、企业管理员、企业成员、普通用户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页面/入口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管理端“系统管理—组织与后台账号/权限与菜单”；用户端角色权限页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代码证据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apps/user-uni/src/config/permissions.ts；adminNavigation.ts；backend-go enterprise/user RBAC APIs</w:t>
            </w:r>
          </w:p>
        </w:tc>
      </w:tr>
    </w:tbl>
    <w:p>
      <w:pPr>
        <w:spacing w:after="0"/>
      </w:pPr>
    </w:p>
    <w:p>
      <w:pPr>
        <w:pStyle w:val="Heading2"/>
      </w:pPr>
      <w:r>
        <w:t>3.15.2 业务流程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流程 </w:t>
      </w:r>
      <w:r>
        <w:rPr>
          <w:rFonts w:ascii="Calibri" w:hAnsi="Calibri" w:eastAsia="Microsoft YaHei"/>
          <w:color w:val="1F2937"/>
          <w:sz w:val="21"/>
        </w:rPr>
        <w:t>管理员创建角色 → 绑定菜单/操作/数据范围 → 分配用户或企业成员 → 请求携带身份与上下文 → 服务端校验 → 返回授权数据</w:t>
      </w:r>
    </w:p>
    <w:p>
      <w:pPr>
        <w:pStyle w:val="Heading2"/>
      </w:pPr>
      <w:r>
        <w:t>3.15.3 主要功能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后台账号和组织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角色、菜单与操作权限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企业成员与组织范围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租户/组织上下文切换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403 禁止访问页和审计</w:t>
      </w:r>
    </w:p>
    <w:p>
      <w:r>
        <w:br w:type="page"/>
      </w:r>
    </w:p>
    <w:p>
      <w:pPr>
        <w:pStyle w:val="Heading1"/>
      </w:pPr>
      <w:r>
        <w:t>3.15.4 权限系统操作说明与截图</w:t>
      </w:r>
    </w:p>
    <w:p>
      <w:pPr>
        <w:pStyle w:val="Heading2"/>
      </w:pPr>
      <w:r>
        <w:t>操作步骤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进入权限与菜单模块。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创建或编辑角色。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选择允许的模块、操作和数据范围。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将角色分配给账号或企业成员。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使用测试账号验证页面和接口均受限。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角色权限配置、菜单树、成员角色与权限不足页面。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pPr>
        <w:pStyle w:val="Heading2"/>
      </w:pPr>
      <w:r>
        <w:t>异常与验收检查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页面隐藏不能替代服务端鉴权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外部消息不得传入 tenant_id 决定租户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切换企业时清理旧上下文缓存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高权限操作最小授权</w:t>
      </w:r>
    </w:p>
    <w:p>
      <w:r>
        <w:br w:type="page"/>
      </w:r>
    </w:p>
    <w:p>
      <w:pPr>
        <w:pStyle w:val="Heading1"/>
      </w:pPr>
      <w:r>
        <w:t>第四章 质量、安全与兼容性</w:t>
      </w:r>
    </w:p>
    <w:p>
      <w:pPr>
        <w:spacing w:before="80" w:after="160" w:line="288" w:lineRule="auto"/>
        <w:ind w:left="198" w:right="198"/>
        <w:shd w:fill="E8EEF5"/>
      </w:pPr>
      <w:r>
        <w:rPr>
          <w:rFonts w:ascii="Calibri" w:hAnsi="Calibri" w:eastAsia="Microsoft YaHei"/>
          <w:b/>
          <w:color w:val="1F4D78"/>
          <w:sz w:val="21"/>
        </w:rPr>
        <w:t xml:space="preserve">本节说明 </w:t>
      </w:r>
      <w:r>
        <w:rPr>
          <w:rFonts w:ascii="Calibri" w:hAnsi="Calibri" w:eastAsia="Microsoft YaHei"/>
          <w:color w:val="1F2937"/>
          <w:sz w:val="21"/>
        </w:rPr>
        <w:t>说明非功能要求和发布验证边界。</w:t>
      </w:r>
    </w:p>
    <w:p>
      <w:pPr>
        <w:pStyle w:val="Heading2"/>
      </w:pPr>
      <w:r>
        <w:t>4.1 性能与可靠性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普通 API 请求使用统一超时和错误提示；AI 长任务使用独立状态查询。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生成、支付和 Connector 请求具备业务幂等标识。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失败任务记录原因并按规则释放预留额度。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Redis 不可用时生产认证不能静默降级到不安全本地会话。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健康检查、优雅关闭和基础设施连接验证用于部署监控。</w:t>
      </w:r>
    </w:p>
    <w:p>
      <w:pPr>
        <w:pStyle w:val="Heading2"/>
      </w:pPr>
      <w:r>
        <w:t>4.2 数据安全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密码不保存明文；生产密钥由环境变量或 Secret 注入。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企业数据按租户、组织、成员和角色过滤。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私有作品、文档、提示词和对话默认不对企业后台无关角色展示。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支付金额、会员和 Token 权益只能由服务端决定。</w:t>
      </w:r>
    </w:p>
    <w:p>
      <w:r>
        <w:br w:type="page"/>
      </w:r>
    </w:p>
    <w:p>
      <w:pPr>
        <w:pStyle w:val="Heading1"/>
      </w:pPr>
      <w:r>
        <w:t>4.3 隐私与内容合规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App 当前声明网络、相机和媒体读取权限。相机与相册仅在用户主动选择参考图、头像、营业执照或保存作品时使用。正式上架需公布稳定 HTTPS 隐私政策，逐一披露第三方 SDK，并提供有效账号注销和投诉渠道。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协议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登录前明确勾选；服务端保存已发布版本和接受记录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权限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按功能触发、说明目的、允许拒绝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内容审核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输入、输出、下载和分享阶段记录状态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AI 标识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生成结果保留显式/隐式标识策略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个人权利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查阅、更正、删除、撤回同意、注销和投诉；注销入口当前为 TODO</w:t>
            </w:r>
          </w:p>
        </w:tc>
      </w:tr>
    </w:tbl>
    <w:p>
      <w:pPr>
        <w:spacing w:after="0"/>
      </w:pPr>
    </w:p>
    <w:p>
      <w:pPr>
        <w:spacing w:before="80" w:after="160" w:line="288" w:lineRule="auto"/>
        <w:ind w:left="198" w:right="198"/>
        <w:shd w:fill="FFF4E5"/>
      </w:pPr>
      <w:r>
        <w:rPr>
          <w:rFonts w:ascii="Calibri" w:hAnsi="Calibri" w:eastAsia="Microsoft YaHei"/>
          <w:b/>
          <w:color w:val="1F4D78"/>
          <w:sz w:val="21"/>
        </w:rPr>
        <w:t xml:space="preserve">上线阻塞 </w:t>
      </w:r>
      <w:r>
        <w:rPr>
          <w:rFonts w:ascii="Calibri" w:hAnsi="Calibri" w:eastAsia="Microsoft YaHei"/>
          <w:color w:val="1F2937"/>
          <w:sz w:val="21"/>
        </w:rPr>
        <w:t>当前登录页仍含“正式正文由运营后台发布”的占位说明，必须在提交审核前替换为真实协议。</w:t>
      </w:r>
    </w:p>
    <w:p>
      <w:r>
        <w:br w:type="page"/>
      </w:r>
    </w:p>
    <w:p>
      <w:pPr>
        <w:pStyle w:val="Heading1"/>
      </w:pPr>
      <w:r>
        <w:t>4.4 多端兼容与移动体验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用户端一套 uni-app 源码覆盖 App、H5 和微信小程序。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App 页面采用单一主滚动容器并计算导航栏、TabBar 和安全区域。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自定义导航和底部操作区不得遮挡内容。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相机、相册、保存文件和支付按终端能力适配。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正式发布需在麦芒50及其他 Android 机型验证上下滑动、弹窗关闭和页面返回后的滚动。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Android 真机兼容验证：长页面中部位置及返回顶部后的页面状态。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r>
        <w:br w:type="page"/>
      </w:r>
    </w:p>
    <w:p>
      <w:pPr>
        <w:pStyle w:val="Heading1"/>
      </w:pPr>
      <w:r>
        <w:t>4.5 验收与发布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TypeScript 类型检查、Go 测试、API 边界检查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构建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H5、mp-weixin、App Plus 生产资源构建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服务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数据库迁移、容器启动、健康检查和真实 API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移动端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安装、登录、生成、作品、下载、钱包、企业和滚动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资料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软著、备案、隐私政策、用户协议、图标、截图和审核账号</w:t>
            </w:r>
          </w:p>
        </w:tc>
      </w:tr>
    </w:tbl>
    <w:p>
      <w:pPr>
        <w:spacing w:after="0"/>
      </w:pPr>
    </w:p>
    <w:p>
      <w:pPr>
        <w:spacing w:before="80" w:after="160" w:line="288" w:lineRule="auto"/>
        <w:ind w:left="198" w:right="198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发布包 </w:t>
      </w:r>
      <w:r>
        <w:rPr>
          <w:rFonts w:ascii="Calibri" w:hAnsi="Calibri" w:eastAsia="Microsoft YaHei"/>
          <w:color w:val="1F2937"/>
          <w:sz w:val="21"/>
        </w:rPr>
        <w:t>测试签名 APK 不能用于商店上架；须使用长期正式证书重新生成 release 包。</w:t>
      </w:r>
    </w:p>
    <w:p>
      <w:r>
        <w:br w:type="page"/>
      </w:r>
    </w:p>
    <w:p>
      <w:pPr>
        <w:pStyle w:val="Heading1"/>
      </w:pPr>
      <w:r>
        <w:t>附录 A 核心代码与数据库证据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用户端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apps/user-uni/src；约 29,527 行 TypeScript/Vue/CSS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管理端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admin-vue/src；约 57,817 行 TypeScript/Vue/CSS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服务端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backend-go；约 84,848 行 Go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数据库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database/migrations；65 个 SQL 文件、约 5,664 行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路由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pages.json 约 103 个页面路径；server.go 约 494 个 HTTP 路由注册点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源程序鉴别材料另见 source-code-copyright.md，已编排前 30 页客户端代码和后 30 页服务端/数据库代码，每页 50 行。</w:t>
      </w:r>
    </w:p>
    <w:p>
      <w:r>
        <w:br w:type="page"/>
      </w:r>
    </w:p>
    <w:p>
      <w:pPr>
        <w:pStyle w:val="Heading1"/>
      </w:pPr>
      <w:r>
        <w:t>附录 B 截图替换说明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替换前确认截图来自同一 V1.0 功能冻结版本。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用户端截图采用演示账号并脱敏，管理端截图不显示密钥或真实证件。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截图需覆盖登录、首页、AI 对话、生图、视频、PPT、智能体、知识库、作品、钱包和企业后台。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替换后检查图片清晰度、标题、图注、页码和目录。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商店截图和软著说明书截图可使用同一运行版本，但尺寸和构图按各自要求导出。</w:t>
      </w:r>
    </w:p>
    <w:p>
      <w:pPr>
        <w:spacing w:before="160" w:after="120" w:line="264" w:lineRule="auto"/>
        <w:jc w:val="center"/>
        <w:shd w:fill="FAFBFC"/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</w:pPr>
      <w:r>
        <w:rPr>
          <w:rFonts w:ascii="Calibri" w:hAnsi="Calibri" w:eastAsia="Microsoft YaHei"/>
          <w:b/>
          <w:color w:val="667085"/>
          <w:sz w:val="22"/>
        </w:rPr>
        <w:br/>
        <w:br/>
        <w:br/>
        <w:t>【页面截图位置】</w:t>
        <w:br/>
        <w:t>最终版本代表性总览截图。</w:t>
        <w:br/>
        <w:br/>
        <w:br/>
      </w:r>
    </w:p>
    <w:p>
      <w:pPr>
        <w:spacing w:after="160"/>
        <w:jc w:val="center"/>
      </w:pPr>
      <w:r>
        <w:rPr>
          <w:rFonts w:ascii="Calibri" w:hAnsi="Calibri" w:eastAsia="Microsoft YaHei"/>
          <w:color w:val="667085"/>
          <w:sz w:val="18"/>
        </w:rPr>
        <w:t>图示占位：正式申报前替换为同版本真实运行截图</w:t>
      </w:r>
    </w:p>
    <w:p>
      <w:r>
        <w:br w:type="page"/>
      </w:r>
    </w:p>
    <w:p>
      <w:pPr>
        <w:pStyle w:val="Heading1"/>
      </w:pPr>
      <w:r>
        <w:t>附录 C 术语与待确认事项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672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AI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人工智能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PPT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演示文稿及其生成、编辑和导出能力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Agent/智能体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组合模型、提示规则、知识库和工具的业务助手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RAG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检索增强生成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Token/算力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平台对模型服务消耗进行计量的权益单位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租户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企业或组织数据隔离范围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TODO</w:t>
            </w:r>
          </w:p>
        </w:tc>
        <w:tc>
          <w:tcPr>
            <w:tcW w:type="dxa" w:w="6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必须由申请人、运营主体或法务确认的未知信息</w:t>
            </w:r>
          </w:p>
        </w:tc>
      </w:tr>
    </w:tbl>
    <w:p>
      <w:pPr>
        <w:spacing w:after="0"/>
      </w:pPr>
    </w:p>
    <w:p>
      <w:pPr>
        <w:pStyle w:val="Heading2"/>
      </w:pPr>
      <w:r>
        <w:t>正式提交前必须确认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著作权人名称、证件和权利取得方式。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开发完成日期与首次发表状态。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App 备案主体、备案号和域名。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第三方 AI、短信、支付、存储、内容安全和 SDK 清单。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账号注销、投诉、侵权和客服渠道。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  <w:sz w:val="22"/>
        </w:rPr>
        <w:t>正式签名 APK 与真实运行截图。</w:t>
      </w:r>
    </w:p>
    <w:p>
      <w:pPr>
        <w:spacing w:before="80" w:after="160" w:line="288" w:lineRule="auto"/>
        <w:ind w:left="198" w:right="198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结束语 </w:t>
      </w:r>
      <w:r>
        <w:rPr>
          <w:rFonts w:ascii="Calibri" w:hAnsi="Calibri" w:eastAsia="Microsoft YaHei"/>
          <w:color w:val="1F2937"/>
          <w:sz w:val="21"/>
        </w:rPr>
        <w:t>本说明书只整理当前软件功能和技术事实，不填写虚假主体、法人或备案信息。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知启云AI企业级AI创作与智能体平台 V1.0  |  软件功能说明书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知启云AI企业级AI创作与智能体平台 V1.0 软件功能说明书</dc:title>
  <dc:subject>计算机软件著作权登记文档鉴别材料</dc:subject>
  <dc:creator/>
  <cp:keywords>知启云AI,软件著作权,功能说明书,V1.0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