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知启云AI企业级渠道生态中心 V1.3.2 最终设计版</w:t>
      </w:r>
    </w:p>
    <w:p>
      <w:r>
        <w:t>知启云AI企业级渠道生态中心 V1.3.2 最终设计版</w:t>
        <w:br/>
        <w:br/>
        <w:t>一、商业模型</w:t>
        <w:br/>
        <w:t>角色：</w:t>
        <w:br/>
        <w:t>主控平台</w:t>
        <w:br/>
        <w:t>运营中心（区域运营服务角色）</w:t>
        <w:br/>
        <w:t>代理商体系</w:t>
        <w:br/>
        <w:t>会员用户</w:t>
        <w:br/>
        <w:br/>
        <w:t>核心规则：</w:t>
        <w:br/>
        <w:t>代理关系支持无限发展，但单笔订单收益只计算直属代理和所属运营中心，不计算直属代理以上其他代理层级。</w:t>
        <w:br/>
        <w:br/>
        <w:t>二、订单分润</w:t>
        <w:br/>
        <w:t>会员购买默认配置：</w:t>
        <w:br/>
        <w:t>订单金额：996元（可配置）</w:t>
        <w:br/>
        <w:t>会员Token权益：400元（可配置）</w:t>
        <w:br/>
        <w:t>直属代理收益：300元（可配置）</w:t>
        <w:br/>
        <w:t>运营中心服务收益：200元（可配置）</w:t>
        <w:br/>
        <w:t>平台收益：96元（根据规则计算）</w:t>
        <w:br/>
        <w:br/>
        <w:t>代理发展代理默认配置：</w:t>
        <w:br/>
        <w:t>代理套餐：996元（可配置）</w:t>
        <w:br/>
        <w:t>新代理Token权益：200元（可配置）</w:t>
        <w:br/>
        <w:t>直属代理收益：300元（可配置）</w:t>
        <w:br/>
        <w:t>运营中心服务收益：200元（可配置）</w:t>
        <w:br/>
        <w:t>平台收益：296元。</w:t>
        <w:br/>
        <w:br/>
        <w:t>三、运营中心</w:t>
        <w:br/>
        <w:t>运营中心申请：</w:t>
        <w:br/>
        <w:t>申请 -&gt; 支付运营中心技术服务费 -&gt; 审核 -&gt; 开通权限。</w:t>
        <w:br/>
        <w:br/>
        <w:t>5000元仅作为默认初始化配置，不允许代码硬编码。</w:t>
        <w:br/>
        <w:br/>
        <w:t>四、推荐奖励</w:t>
        <w:br/>
        <w:t>运营中心推荐运营中心：</w:t>
        <w:br/>
        <w:t>默认奖励3000元。</w:t>
        <w:br/>
        <w:br/>
        <w:t>代理推荐运营中心：</w:t>
        <w:br/>
        <w:t>推荐代理奖励1000元；</w:t>
        <w:br/>
        <w:t>所属运营中心奖励2000元。</w:t>
        <w:br/>
        <w:br/>
        <w:t>推荐奖励独立于订单分润，不递归奖励上级代理。</w:t>
        <w:br/>
        <w:br/>
        <w:t>五、配置中心</w:t>
        <w:br/>
        <w:t>所有金额、比例、周期、权益、奖励均后台配置。</w:t>
        <w:br/>
        <w:t>支持测试环境小金额验证，正式环境调整配置。</w:t>
        <w:br/>
        <w:br/>
        <w:t>六、规则版本</w:t>
        <w:br/>
        <w:t>历史订单使用历史规则，新订单使用当前规则。</w:t>
        <w:br/>
        <w:br/>
        <w:t>七、Codex任务</w:t>
        <w:br/>
        <w:t>第一阶段禁止修改业务代码。</w:t>
        <w:br/>
        <w:t>输出：</w:t>
        <w:br/>
        <w:t>1. 当前系统能力分析</w:t>
        <w:br/>
        <w:t>2. 差异分析</w:t>
        <w:br/>
        <w:t>3. 数据库设计</w:t>
        <w:br/>
        <w:t>4. API设计</w:t>
        <w:br/>
        <w:t>5. 页面设计</w:t>
        <w:br/>
        <w:t>6. 实施计划</w:t>
        <w:br/>
        <w:br/>
        <w:t>确认后进入开发。</w:t>
        <w:br/>
        <w:br/>
        <w:t>八、测试验收</w:t>
        <w:br/>
        <w:t>覆盖：</w:t>
        <w:br/>
        <w:t>会员购买分润；</w:t>
        <w:br/>
        <w:t>代理发展代理；</w:t>
        <w:br/>
        <w:t>运营中心开通；</w:t>
        <w:br/>
        <w:t>推荐奖励；</w:t>
        <w:br/>
        <w:t>退款冲正；</w:t>
        <w:br/>
        <w:t>模拟器计算。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