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7B19F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line="360" w:lineRule="auto"/>
        <w:ind w:left="0" w:firstLine="0"/>
        <w:textAlignment w:val="baseline"/>
        <w:rPr>
          <w:rFonts w:hint="eastAsia" w:ascii="仿宋" w:hAnsi="仿宋" w:eastAsia="仿宋" w:cs="仿宋"/>
          <w:b/>
          <w:bCs/>
          <w:color w:val="0000FF"/>
          <w:sz w:val="21"/>
          <w:szCs w:val="21"/>
          <w:lang w:val="en-US" w:eastAsia="zh-CN"/>
        </w:rPr>
      </w:pPr>
      <w:r>
        <w:rPr>
          <w:rFonts w:hint="eastAsia" w:ascii="仿宋" w:hAnsi="仿宋" w:eastAsia="仿宋" w:cs="仿宋"/>
          <w:b/>
          <w:bCs/>
          <w:color w:val="0000FF"/>
          <w:sz w:val="21"/>
          <w:szCs w:val="21"/>
          <w:lang w:val="en-US" w:eastAsia="zh-CN"/>
        </w:rPr>
        <w:t>特斯联超节点技术解析④ | 突破散热与功耗瓶颈</w:t>
      </w:r>
    </w:p>
    <w:p w14:paraId="420E2A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shd w:val="clear" w:fill="FFFFFF"/>
          <w:vertAlign w:val="baseline"/>
          <w:lang w:eastAsia="zh-CN"/>
        </w:rPr>
      </w:pPr>
      <w:r>
        <w:rPr>
          <w:rFonts w:hint="eastAsia" w:ascii="仿宋" w:hAnsi="仿宋" w:eastAsia="仿宋" w:cs="仿宋"/>
          <w:caps w:val="0"/>
          <w:color w:val="000000"/>
          <w:spacing w:val="0"/>
          <w:sz w:val="21"/>
          <w:szCs w:val="21"/>
          <w:shd w:val="clear" w:fill="FFFFFF"/>
          <w:vertAlign w:val="baseline"/>
        </w:rPr>
        <w:t>随着大模型与智能体技术的飞速发展，智算中心的规模与能耗正同步迈入前所未有的量级。在追求极致算力的同时，如何驯服随之产生的巨量热能、降低运营成本，并响应“双碳”战略，已成为AI算力基础设施必须攻克的系统性难题。特斯联推出的T-Cluster 512异构智算超节点，正是对这一挑战的深刻回应。它不仅仅是一个高密度的算力集成体，更通过一套从底层散热架构到顶层智能管理的系统性能效优化方案，为实现高性能与可持续发展的平衡提供了关键路径。</w:t>
      </w:r>
      <w:bookmarkStart w:id="0" w:name="_GoBack"/>
      <w:bookmarkEnd w:id="0"/>
    </w:p>
    <w:p w14:paraId="0695C16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Style w:val="6"/>
          <w:rFonts w:hint="eastAsia" w:ascii="仿宋" w:hAnsi="仿宋" w:eastAsia="仿宋" w:cs="仿宋"/>
          <w:b/>
          <w:bCs/>
          <w:caps w:val="0"/>
          <w:color w:val="000000"/>
          <w:spacing w:val="0"/>
          <w:sz w:val="21"/>
          <w:szCs w:val="21"/>
          <w:shd w:val="clear" w:fill="FFFFFF"/>
          <w:vertAlign w:val="baseline"/>
          <w:lang w:val="en-US" w:eastAsia="zh-CN"/>
        </w:rPr>
        <w:t>一、</w:t>
      </w:r>
      <w:r>
        <w:rPr>
          <w:rStyle w:val="6"/>
          <w:rFonts w:hint="eastAsia" w:ascii="仿宋" w:hAnsi="仿宋" w:eastAsia="仿宋" w:cs="仿宋"/>
          <w:b/>
          <w:bCs/>
          <w:caps w:val="0"/>
          <w:color w:val="000000"/>
          <w:spacing w:val="0"/>
          <w:sz w:val="21"/>
          <w:szCs w:val="21"/>
          <w:shd w:val="clear" w:fill="FFFFFF"/>
          <w:vertAlign w:val="baseline"/>
        </w:rPr>
        <w:t>挑战与破局：从“风冷极限”到“液冷主导”的系统性革新</w:t>
      </w:r>
      <w:r>
        <w:rPr>
          <w:rFonts w:hint="eastAsia" w:ascii="仿宋" w:hAnsi="仿宋" w:eastAsia="仿宋" w:cs="仿宋"/>
          <w:caps w:val="0"/>
          <w:color w:val="000000"/>
          <w:spacing w:val="0"/>
          <w:sz w:val="21"/>
          <w:szCs w:val="21"/>
          <w:shd w:val="clear" w:fill="FFFFFF"/>
          <w:vertAlign w:val="baseline"/>
        </w:rPr>
        <w:t>​</w:t>
      </w:r>
    </w:p>
    <w:p w14:paraId="2ED7CD6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传统风冷散热方案在面对T-Cluster 512单机柜高达120KW的极致功率密度时，已触及物理极限。高功耗带来的散热难题若无法解决，将直接导致芯片降频、系统不稳定乃至宕机，使得巨额投入的算力资源无法有效释放。为此，特斯联</w:t>
      </w:r>
      <w:r>
        <w:rPr>
          <w:rFonts w:hint="eastAsia" w:ascii="仿宋" w:hAnsi="仿宋" w:eastAsia="仿宋" w:cs="仿宋"/>
          <w:caps w:val="0"/>
          <w:color w:val="000000"/>
          <w:spacing w:val="0"/>
          <w:sz w:val="21"/>
          <w:szCs w:val="21"/>
          <w:shd w:val="clear" w:fill="FFFFFF"/>
          <w:vertAlign w:val="baseline"/>
          <w:lang w:val="en-US" w:eastAsia="zh-CN"/>
        </w:rPr>
        <w:t>选择</w:t>
      </w:r>
      <w:r>
        <w:rPr>
          <w:rFonts w:hint="eastAsia" w:ascii="仿宋" w:hAnsi="仿宋" w:eastAsia="仿宋" w:cs="仿宋"/>
          <w:caps w:val="0"/>
          <w:color w:val="000000"/>
          <w:spacing w:val="0"/>
          <w:sz w:val="21"/>
          <w:szCs w:val="21"/>
          <w:shd w:val="clear" w:fill="FFFFFF"/>
          <w:vertAlign w:val="baseline"/>
        </w:rPr>
        <w:t>从根本上进行架构重构，将高效散热作为与计算、互联、供电并重的核心子系统进行一体化协同设计。</w:t>
      </w:r>
    </w:p>
    <w:p w14:paraId="765773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T-Cluster 512采用了“液冷为主，风冷为辅”的混合散热策略。其核心是覆盖超过70%发热部件的高性能冷板式液冷系统。该方案精准地对CPU、GPU、内存等核心高功耗发热部件进行一体化冷板设计</w:t>
      </w:r>
      <w:r>
        <w:rPr>
          <w:rFonts w:hint="eastAsia" w:ascii="仿宋" w:hAnsi="仿宋" w:eastAsia="仿宋" w:cs="仿宋"/>
          <w:caps w:val="0"/>
          <w:color w:val="000000"/>
          <w:spacing w:val="0"/>
          <w:sz w:val="21"/>
          <w:szCs w:val="21"/>
          <w:shd w:val="clear" w:fill="FFFFFF"/>
          <w:vertAlign w:val="baseline"/>
          <w:lang w:eastAsia="zh-CN"/>
        </w:rPr>
        <w:t>；</w:t>
      </w:r>
      <w:r>
        <w:rPr>
          <w:rFonts w:hint="eastAsia" w:ascii="仿宋" w:hAnsi="仿宋" w:eastAsia="仿宋" w:cs="仿宋"/>
          <w:caps w:val="0"/>
          <w:color w:val="000000"/>
          <w:spacing w:val="0"/>
          <w:sz w:val="21"/>
          <w:szCs w:val="21"/>
          <w:shd w:val="clear" w:fill="FFFFFF"/>
          <w:vertAlign w:val="baseline"/>
        </w:rPr>
        <w:t>而对于网卡、电源等其余部件，则辅以风冷经济高效的散热形式。这种混合模式并非简单叠加，而是经过精密的热仿真与工程设计，实现了散热效能与成本的</w:t>
      </w:r>
      <w:r>
        <w:rPr>
          <w:rFonts w:hint="eastAsia" w:ascii="仿宋" w:hAnsi="仿宋" w:eastAsia="仿宋" w:cs="仿宋"/>
          <w:caps w:val="0"/>
          <w:color w:val="000000"/>
          <w:spacing w:val="0"/>
          <w:sz w:val="21"/>
          <w:szCs w:val="21"/>
          <w:shd w:val="clear" w:fill="FFFFFF"/>
          <w:vertAlign w:val="baseline"/>
          <w:lang w:val="en-US" w:eastAsia="zh-CN"/>
        </w:rPr>
        <w:t>极优</w:t>
      </w:r>
      <w:r>
        <w:rPr>
          <w:rFonts w:hint="eastAsia" w:ascii="仿宋" w:hAnsi="仿宋" w:eastAsia="仿宋" w:cs="仿宋"/>
          <w:caps w:val="0"/>
          <w:color w:val="000000"/>
          <w:spacing w:val="0"/>
          <w:sz w:val="21"/>
          <w:szCs w:val="21"/>
          <w:shd w:val="clear" w:fill="FFFFFF"/>
          <w:vertAlign w:val="baseline"/>
        </w:rPr>
        <w:t>平衡。通过这一革新，系统成功将整机功耗显著降低，服务器节能率提升30%以上，并将数据中心PUE值优化至惊人的1.08，远低于行业平均水平。</w:t>
      </w:r>
    </w:p>
    <w:p w14:paraId="2006CAC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Style w:val="6"/>
          <w:rFonts w:hint="eastAsia" w:ascii="仿宋" w:hAnsi="仿宋" w:eastAsia="仿宋" w:cs="仿宋"/>
          <w:b/>
          <w:bCs/>
          <w:caps w:val="0"/>
          <w:color w:val="000000"/>
          <w:spacing w:val="0"/>
          <w:sz w:val="21"/>
          <w:szCs w:val="21"/>
          <w:shd w:val="clear" w:fill="FFFFFF"/>
          <w:vertAlign w:val="baseline"/>
        </w:rPr>
        <w:t>二、 全栈液冷解决方案：从部件到机柜的深度集成</w:t>
      </w:r>
      <w:r>
        <w:rPr>
          <w:rFonts w:hint="eastAsia" w:ascii="仿宋" w:hAnsi="仿宋" w:eastAsia="仿宋" w:cs="仿宋"/>
          <w:caps w:val="0"/>
          <w:color w:val="000000"/>
          <w:spacing w:val="0"/>
          <w:sz w:val="21"/>
          <w:szCs w:val="21"/>
          <w:shd w:val="clear" w:fill="FFFFFF"/>
          <w:vertAlign w:val="baseline"/>
        </w:rPr>
        <w:t>​</w:t>
      </w:r>
    </w:p>
    <w:p w14:paraId="7E05E26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能效优化绝非单一散热模块的胜利，而是贯穿设计、制造与部署全链条的系统工程。特斯联为T-Cluster 512构建了覆盖“液冷机柜-电源系统-冷却分配-智能监控”的全栈液冷解决方案。</w:t>
      </w:r>
    </w:p>
    <w:p w14:paraId="5961FC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在硬件层面，液冷机柜采用高功率设计，单柜支持120KW。全液温控技术确保整机压降低于80Kpa，各支路流量均匀度高达95%以上，实现了散热量的精准、均衡分配。关键的冷却分配单元（CDU）结合智能监控系统，其能效比（EER）达到100以上，二次侧冷却液水温控制精度可达±0.5°C，在高效散热的同时实现了极低的自身能耗。</w:t>
      </w:r>
    </w:p>
    <w:p w14:paraId="64DB5D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在工程实现上，T-Cluster 512创新性地采用了“水、电、网”三总线“盲插”设计。服务器节点在推入机柜时，其液冷管路通过快接头与机柜内的分水器（Manifold）、电路通过汇流条（Busbar）、高速网络通过预置的铜缆背板（Cable</w:t>
      </w:r>
      <w:r>
        <w:rPr>
          <w:rFonts w:hint="eastAsia" w:ascii="仿宋" w:hAnsi="仿宋" w:eastAsia="仿宋" w:cs="仿宋"/>
          <w:caps w:val="0"/>
          <w:color w:val="000000"/>
          <w:spacing w:val="0"/>
          <w:sz w:val="21"/>
          <w:szCs w:val="21"/>
          <w:shd w:val="clear" w:fill="FFFFFF"/>
          <w:vertAlign w:val="baseline"/>
          <w:lang w:val="en-US" w:eastAsia="zh-CN"/>
        </w:rPr>
        <w:t xml:space="preserve"> </w:t>
      </w:r>
      <w:r>
        <w:rPr>
          <w:rFonts w:hint="eastAsia" w:ascii="仿宋" w:hAnsi="仿宋" w:eastAsia="仿宋" w:cs="仿宋"/>
          <w:caps w:val="0"/>
          <w:color w:val="000000"/>
          <w:spacing w:val="0"/>
          <w:sz w:val="21"/>
          <w:szCs w:val="21"/>
          <w:shd w:val="clear" w:fill="FFFFFF"/>
          <w:vertAlign w:val="baseline"/>
        </w:rPr>
        <w:t>Tray）可实现一次性精准连接。这极大简化了高密度液冷系统的部署与维护复杂度，避免了人工接线的错误与低效，将复杂的集成工作前置到工厂端完成，最终以“开箱即用”的整柜形式交付，缩短了业务上线周期，也保障了系统的一致性与可靠性。</w:t>
      </w:r>
    </w:p>
    <w:p w14:paraId="663810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Style w:val="6"/>
          <w:rFonts w:hint="eastAsia" w:ascii="仿宋" w:hAnsi="仿宋" w:eastAsia="仿宋" w:cs="仿宋"/>
          <w:b/>
          <w:bCs/>
          <w:caps w:val="0"/>
          <w:color w:val="000000"/>
          <w:spacing w:val="0"/>
          <w:sz w:val="21"/>
          <w:szCs w:val="21"/>
          <w:shd w:val="clear" w:fill="FFFFFF"/>
          <w:vertAlign w:val="baseline"/>
        </w:rPr>
        <w:t>三、 智能运维与热管理：从“被动响应”到“主动优化”​</w:t>
      </w:r>
      <w:r>
        <w:rPr>
          <w:rFonts w:hint="eastAsia" w:ascii="仿宋" w:hAnsi="仿宋" w:eastAsia="仿宋" w:cs="仿宋"/>
          <w:caps w:val="0"/>
          <w:color w:val="000000"/>
          <w:spacing w:val="0"/>
          <w:sz w:val="21"/>
          <w:szCs w:val="21"/>
          <w:shd w:val="clear" w:fill="FFFFFF"/>
          <w:vertAlign w:val="baseline"/>
        </w:rPr>
        <w:t>​</w:t>
      </w:r>
    </w:p>
    <w:p w14:paraId="6119F44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稳定的能效表现离不开智能化的运维保障。T-Cluster 512通过构建“物理集群数字孪生”与“运维智能体”融合的立体化运维体系，将能效管理提升至新高度。</w:t>
      </w:r>
    </w:p>
    <w:p w14:paraId="755CC2B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超节点数字孪生技术实现了对物理集群状态的全流程可视化监控与模拟。运维智能体则可实时监控超过120种算力与基础设施资源、覆盖1500多项指标。系统能够对液冷回路的关键参数，如流量、温度、压力进行实时采集与智能分析。当任何参数出现细微偏差或趋势异常时，智能体可提前预警，甚至自动执行调节策略，防止局部过热或能效下降，实现“业务无感”的预防性维护。</w:t>
      </w:r>
    </w:p>
    <w:p w14:paraId="4B333B3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此外，严谨的热设计验证是长期稳定运行的基础。特斯联借鉴了航天领域的系统级验证方法，从单个液冷组件的热平衡测试开始，用实测数据修正仿真模型，再将所有精确的组件模型集成到整体系统模型中进行任务模式仿真。这种从组件到系统的闭环验证，确保了在最严苛的算力负载下，整个液冷散热系统设计的正确性与可靠性，为7x24小时不间断的大模型训练任务提供了坚实保障。</w:t>
      </w:r>
    </w:p>
    <w:p w14:paraId="252DA2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line="360" w:lineRule="auto"/>
        <w:ind w:lef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lang w:val="en-US" w:eastAsia="zh-CN"/>
        </w:rPr>
        <w:t>基于系统级的能效优化方案，T-Cluster 512 PUE低至1.08；</w:t>
      </w:r>
      <w:r>
        <w:rPr>
          <w:rFonts w:hint="eastAsia" w:ascii="仿宋" w:hAnsi="仿宋" w:eastAsia="仿宋" w:cs="仿宋"/>
          <w:caps w:val="0"/>
          <w:color w:val="000000"/>
          <w:spacing w:val="0"/>
          <w:sz w:val="21"/>
          <w:szCs w:val="21"/>
          <w:shd w:val="clear" w:fill="FFFFFF"/>
          <w:vertAlign w:val="baseline"/>
        </w:rPr>
        <w:t>据测算，1MW智算中心</w:t>
      </w:r>
      <w:r>
        <w:rPr>
          <w:rFonts w:hint="eastAsia" w:ascii="仿宋" w:hAnsi="仿宋" w:eastAsia="仿宋" w:cs="仿宋"/>
          <w:caps w:val="0"/>
          <w:color w:val="000000"/>
          <w:spacing w:val="0"/>
          <w:sz w:val="21"/>
          <w:szCs w:val="21"/>
          <w:shd w:val="clear" w:fill="FFFFFF"/>
          <w:vertAlign w:val="baseline"/>
          <w:lang w:val="en-US" w:eastAsia="zh-CN"/>
        </w:rPr>
        <w:t>藉此</w:t>
      </w:r>
      <w:r>
        <w:rPr>
          <w:rFonts w:hint="eastAsia" w:ascii="仿宋" w:hAnsi="仿宋" w:eastAsia="仿宋" w:cs="仿宋"/>
          <w:caps w:val="0"/>
          <w:color w:val="000000"/>
          <w:spacing w:val="0"/>
          <w:sz w:val="21"/>
          <w:szCs w:val="21"/>
          <w:shd w:val="clear" w:fill="FFFFFF"/>
          <w:vertAlign w:val="baseline"/>
        </w:rPr>
        <w:t>每年可</w:t>
      </w:r>
      <w:r>
        <w:rPr>
          <w:rFonts w:hint="eastAsia" w:ascii="仿宋" w:hAnsi="仿宋" w:eastAsia="仿宋" w:cs="仿宋"/>
          <w:caps w:val="0"/>
          <w:color w:val="000000"/>
          <w:spacing w:val="0"/>
          <w:sz w:val="21"/>
          <w:szCs w:val="21"/>
          <w:shd w:val="clear" w:fill="FFFFFF"/>
          <w:vertAlign w:val="baseline"/>
          <w:lang w:val="en-US" w:eastAsia="zh-CN"/>
        </w:rPr>
        <w:t>实现节电</w:t>
      </w:r>
      <w:r>
        <w:rPr>
          <w:rFonts w:hint="eastAsia" w:ascii="仿宋" w:hAnsi="仿宋" w:eastAsia="仿宋" w:cs="仿宋"/>
          <w:caps w:val="0"/>
          <w:color w:val="000000"/>
          <w:spacing w:val="0"/>
          <w:sz w:val="21"/>
          <w:szCs w:val="21"/>
          <w:shd w:val="clear" w:fill="FFFFFF"/>
          <w:vertAlign w:val="baseline"/>
        </w:rPr>
        <w:t>超10%。这对于动辄兆瓦级乃至数十兆瓦级的智算中心而言，意味着每年节省数百甚至上千万元的电费支出，同时大幅降低了碳排放。</w:t>
      </w:r>
    </w:p>
    <w:p w14:paraId="2E3D73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spacing w:before="0" w:beforeAutospacing="0" w:after="0" w:afterAutospacing="0" w:line="360" w:lineRule="auto"/>
        <w:ind w:left="0" w:right="0" w:firstLine="0"/>
        <w:textAlignment w:val="baseline"/>
        <w:rPr>
          <w:rFonts w:hint="eastAsia" w:ascii="仿宋" w:hAnsi="仿宋" w:eastAsia="仿宋" w:cs="仿宋"/>
          <w:caps w:val="0"/>
          <w:color w:val="000000"/>
          <w:spacing w:val="0"/>
          <w:sz w:val="21"/>
          <w:szCs w:val="21"/>
        </w:rPr>
      </w:pPr>
      <w:r>
        <w:rPr>
          <w:rFonts w:hint="eastAsia" w:ascii="仿宋" w:hAnsi="仿宋" w:eastAsia="仿宋" w:cs="仿宋"/>
          <w:caps w:val="0"/>
          <w:color w:val="000000"/>
          <w:spacing w:val="0"/>
          <w:sz w:val="21"/>
          <w:szCs w:val="21"/>
          <w:shd w:val="clear" w:fill="FFFFFF"/>
          <w:vertAlign w:val="baseline"/>
        </w:rPr>
        <w:t>特斯联T-Cluster 512超节点的能效优化技术，代表了一种从单纯追求算力密度到追求“算力效能密度”的系统性思维转变。它通过液冷主导的散热革命、全栈集成的工程创新以及智能主动的运维管理，不仅成功突破了高密度算力的散热瓶颈，更将绿色高效转化为产品的核心竞争力。</w:t>
      </w:r>
    </w:p>
    <w:p w14:paraId="20D38BFE">
      <w:pPr>
        <w:spacing w:line="360" w:lineRule="auto"/>
        <w:rPr>
          <w:rFonts w:hint="eastAsia" w:ascii="仿宋" w:hAnsi="仿宋" w:eastAsia="仿宋" w:cs="仿宋"/>
          <w:sz w:val="21"/>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6A2E54"/>
    <w:rsid w:val="066A2E54"/>
    <w:rsid w:val="1A746B8D"/>
    <w:rsid w:val="2B797742"/>
    <w:rsid w:val="30C647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2026-02-10T02:49:00Z</dcterms:created>
  <dc:creator>PL</dc:creator>
  <cp:lastModifiedBy>赵彤</cp:lastModifiedBy>
  <dcterms:modified xsi:type="dcterms:W3CDTF">2026-02-12T02:28:51Z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168F4C6D9A8648C78F493DC0100B9485_13</vt:lpwstr>
  </property>
</Properties>
</file>