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公平概率：73.8%  |  凯莉比例：0%  |  变异系数CV：1.49%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1.34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12.5</w:t>
            </w:r>
          </w:p>
        </w:tc>
        <w:tc>
          <w:tcPr>
            <w:tcW w:type="dxa" w:w="3513"/>
          </w:tcPr>
          <w:p>
            <w:r>
              <w:t>9.38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概率一致性：预测概率73.8% vs 市场隐含概率76.3%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