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公平概率：52.8%  |  凯莉比例：0%  |  变异系数CV：3.68%  |  价值值：-0.6%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概率一致性：预测概率52.8% vs 市场隐含概率56.2%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