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Germany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1-2 Germany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公平概率：55.7%  |  凯莉比例：0%  |  变异系数CV：3.36%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  <w:tc>
          <w:tcPr>
            <w:tcW w:type="dxa" w:w="3513"/>
          </w:tcPr>
          <w:p>
            <w:r>
              <w:t>3.94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1-2 @ 3.33  |  每100元回报：¥333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结论一致性：预测Germany胜，赔率1.68，凯莉0%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概率一致性：预测概率55.7% vs 市场隐含概率59.5%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