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Germany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04:00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预测比分：Germany 2-1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公平概率：62.4%  |  凯莉比例：0%  |  变异系数CV：1.26%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1.18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6.4</w:t>
            </w:r>
          </w:p>
        </w:tc>
        <w:tc>
          <w:tcPr>
            <w:tcW w:type="dxa" w:w="3513"/>
          </w:tcPr>
          <w:p>
            <w:r>
              <w:t>4.8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1.18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2-1 @ 2.95  |  每100元回报：¥295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概率一致性：预测概率62.4% vs 市场隐含概率65.4%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