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公平概率：55.2%  |  凯莉比例：0%  |  变异系数CV：2.16%  |  价值值：+0.5%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1.82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概率一致性：预测概率55.2% vs 市场隐含概率57.5%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