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公平概率：39.7%  |  凯莉比例：0%  |  变异系数CV：3.42%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1.84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4.6  |  每100元回报：¥460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概率一致性：预测概率39.7% vs 市场隐含概率42.4%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