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公平概率：87.0%  |  凯莉比例：0%  |  变异系数CV：1.88%  |  价值值：+0.1%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概率一致性：预测概率87.0% vs 市场隐含概率90.9%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