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Cape Verde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推荐方向：Saudi Arabia胜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预测比分：Cape Verde 1-1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公平概率：39.4%  |  凯莉比例：0%  |  变异系数CV：4.42%  |  价值值：+0.4%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Cape Verde</w:t>
            </w:r>
          </w:p>
        </w:tc>
        <w:tc>
          <w:tcPr>
            <w:tcW w:type="dxa" w:w="3513"/>
          </w:tcPr>
          <w:p>
            <w:r>
              <w:t>2.88</w:t>
            </w:r>
          </w:p>
        </w:tc>
        <w:tc>
          <w:tcPr>
            <w:tcW w:type="dxa" w:w="3513"/>
          </w:tcPr>
          <w:p>
            <w:r>
              <w:t>2.88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Arabia胜或平 @ 1.78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推荐：Saudi Arabia胜 @ 2.55 @ 2.55  |  每100元回报：¥255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Saudi Arabia 1-1 @ 6.38  |  每100元回报：¥638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结论一致性：预测Saudi Arabia胜，赔率2.39，凯莉0%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概率一致性：预测概率39.4% vs 市场隐含概率41.8%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市场共识：中等（CV=4.42%）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