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公平概率：63.7%  |  凯莉比例：0%  |  变异系数CV：2.09%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7.8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1.55  |  每100元回报：¥155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1.55 @ 1.55  |  每100元回报：¥155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3.88  |  每100元回报：¥388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概率一致性：预测概率63.7% vs 市场隐含概率66.7%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