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公平概率：62.7%  |  凯莉比例：0%  |  变异系数CV：1.59%  |  价值值：-1.5%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1.57  |  每100元回报：¥157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1.57 @ 1.57  |  每100元回报：¥157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3.93  |  每100元回报：¥393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概率一致性：预测概率62.7% vs 市场隐含概率65.4%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