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公平概率：74.5%  |  凯莉比例：0%  |  变异系数CV：2.52%  |  价值值：-0.9%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13.7</w:t>
            </w:r>
          </w:p>
        </w:tc>
        <w:tc>
          <w:tcPr>
            <w:tcW w:type="dxa" w:w="3513"/>
          </w:tcPr>
          <w:p>
            <w:r>
              <w:t>13.7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概率一致性：预测概率74.5% vs 市场隐含概率78.7% — 偏差4.2%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