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公平概率：77.0%  |  凯莉比例：0%  |  变异系数CV：2.81%  |  价值值：+0.1%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14.75</w:t>
            </w:r>
          </w:p>
        </w:tc>
        <w:tc>
          <w:tcPr>
            <w:tcW w:type="dxa" w:w="3513"/>
          </w:tcPr>
          <w:p>
            <w:r>
              <w:t>14.75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1.3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3.25  |  每100元回报：¥325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概率一致性：预测概率77.0% vs 市场隐含概率82.0%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