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公平概率：52.5%  |  凯莉比例：0%  |  变异系数CV：2.72%  |  价值值：-2.8%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4.6</w:t>
            </w:r>
          </w:p>
        </w:tc>
        <w:tc>
          <w:tcPr>
            <w:tcW w:type="dxa" w:w="3513"/>
          </w:tcPr>
          <w:p>
            <w:r>
              <w:t>4.6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1.85  |  每100元回报：¥185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1.85 @ 1.85  |  每100元回报：¥185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4.62  |  每100元回报：¥462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概率一致性：预测概率52.5% vs 市场隐含概率56.2%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