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公平概率：61.9%  |  凯莉比例：0%  |  变异系数CV：1.58%  |  价值值：-2.3%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7.4</w:t>
            </w:r>
          </w:p>
        </w:tc>
        <w:tc>
          <w:tcPr>
            <w:tcW w:type="dxa" w:w="3513"/>
          </w:tcPr>
          <w:p>
            <w:r>
              <w:t>7.4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概率一致性：预测概率61.9% vs 市场隐含概率64.9%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