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公平概率：72.0%  |  凯莉比例：0%  |  变异系数CV：3.22%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1.37</w:t>
            </w:r>
          </w:p>
        </w:tc>
        <w:tc>
          <w:tcPr>
            <w:tcW w:type="dxa" w:w="3513"/>
          </w:tcPr>
          <w:p>
            <w:r>
              <w:t>1.37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11.75</w:t>
            </w:r>
          </w:p>
        </w:tc>
        <w:tc>
          <w:tcPr>
            <w:tcW w:type="dxa" w:w="3513"/>
          </w:tcPr>
          <w:p>
            <w:r>
              <w:t>11.75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1.37  |  每100元回报：¥137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1.37 @ 1.37  |  每100元回报：¥137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3.43  |  每100元回报：¥343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概率一致性：预测概率72.0% vs 市场隐含概率76.3% — 偏差4.3%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