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Japan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12:00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1-2 Japan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公平概率：62.6%  |  凯莉比例：0%  |  变异系数CV：1.94%  |  价值值：+0.8%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7.6</w:t>
            </w:r>
          </w:p>
        </w:tc>
        <w:tc>
          <w:tcPr>
            <w:tcW w:type="dxa" w:w="3513"/>
          </w:tcPr>
          <w:p>
            <w:r>
              <w:t>7.6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1.61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1-2 @ 4.03  |  每100元回报：¥403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概率一致性：预测概率62.6% vs 市场隐含概率65.4%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