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公平概率：83.5%  |  凯莉比例：0%  |  变异系数CV：2.27%  |  价值值：-2.2%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23.0</w:t>
            </w:r>
          </w:p>
        </w:tc>
        <w:tc>
          <w:tcPr>
            <w:tcW w:type="dxa" w:w="3513"/>
          </w:tcPr>
          <w:p>
            <w:r>
              <w:t>17.25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0.88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0.88 @ 0.88  |  每100元回报：¥88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2.2  |  每100元回报：¥220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概率一致性：预测概率83.5% vs 市场隐含概率88.5%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