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Netherlands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01:00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预测比分：Netherlands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公平概率：55.4%  |  凯莉比例：0%  |  变异系数CV：2.09%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1.8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5.0</w:t>
            </w:r>
          </w:p>
        </w:tc>
        <w:tc>
          <w:tcPr>
            <w:tcW w:type="dxa" w:w="3513"/>
          </w:tcPr>
          <w:p>
            <w:r>
              <w:t>3.75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2-1 @ 3.38  |  每100元回报：¥338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结论一致性：预测Netherlands胜，赔率1.73，凯莉0%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概率一致性：预测概率55.4% vs 市场隐含概率57.8% — 偏差2.4%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