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Franc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2 Franc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4%  |  凯莉比例：0%  |  变异系数CV：2.75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4.4</w:t>
            </w:r>
          </w:p>
        </w:tc>
        <w:tc>
          <w:tcPr>
            <w:tcW w:type="dxa" w:w="3513"/>
          </w:tcPr>
          <w:p>
            <w:r>
              <w:t>3.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1-2 @ 3.47  |  每100元回报：¥34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7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4% vs 市场隐含概率55.9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