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公平概率：62.7%  |  凯莉比例：0%  |  变异系数CV：2.38%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概率一致性：预测概率62.7% vs 市场隐含概率67.1% — 偏差4.4%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