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公平概率：47.4%  |  凯莉比例：0%  |  变异系数CV：1.94%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2.1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4.25</w:t>
            </w:r>
          </w:p>
        </w:tc>
        <w:tc>
          <w:tcPr>
            <w:tcW w:type="dxa" w:w="3513"/>
          </w:tcPr>
          <w:p>
            <w:r>
              <w:t>3.19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3.95  |  每100元回报：¥395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概率一致性：预测概率47.4% vs 市场隐含概率49.5% — 偏差2.1%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