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Spain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1-2 Spain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公平概率：61.5%  |  凯莉比例：0%  |  变异系数CV：2.96%  |  价值值：-1.6%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1-2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结论一致性：预测Spain胜，赔率1.52，凯莉0%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概率一致性：预测概率61.5% vs 市场隐含概率65.8% — 偏差4.3%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