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Canada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06:00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推荐方向：Canada胜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预测比分：Canada 2-0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公平概率：73.6%  |  凯莉比例：0%  |  变异系数CV：1.31%  |  价值值：-0.7%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  <w:tc>
          <w:tcPr>
            <w:tcW w:type="dxa" w:w="3513"/>
          </w:tcPr>
          <w:p>
            <w:r>
              <w:t>9.0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Canada 2-0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结论一致性：预测Canada胜，赔率1.31，凯莉0%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概率一致性：预测概率73.6% vs 市场隐含概率76.3%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市场共识：极高（CV=1.31%）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