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公平概率：44.8%  |  凯莉比例：0%  |  变异系数CV：4.13%  |  价值值：+0.3%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2.62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概率一致性：预测概率44.8% vs 市场隐含概率48.1%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