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公平概率：55.7%  |  凯莉比例：0%  |  变异系数CV：3.36%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5.25</w:t>
            </w:r>
          </w:p>
        </w:tc>
        <w:tc>
          <w:tcPr>
            <w:tcW w:type="dxa" w:w="3513"/>
          </w:tcPr>
          <w:p>
            <w:r>
              <w:t>3.94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1.33 @ 1.33  |  每100元回报：¥133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3.33  |  每100元回报：¥333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概率一致性：预测概率55.7% vs 市场隐含概率59.5%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