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Portugal vs Uzbekistan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01:00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推荐方向：Portugal胜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预测比分：Portugal 2-0 Uzbekistan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公平概率：79.7%  |  凯莉比例：0%  |  变异系数CV：1.74%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Portugal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  <w:tc>
          <w:tcPr>
            <w:tcW w:type="dxa" w:w="3513"/>
          </w:tcPr>
          <w:p>
            <w:r>
              <w:t>0.94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Uzbekistan</w:t>
            </w:r>
          </w:p>
        </w:tc>
        <w:tc>
          <w:tcPr>
            <w:tcW w:type="dxa" w:w="3513"/>
          </w:tcPr>
          <w:p>
            <w:r>
              <w:t>19.0</w:t>
            </w:r>
          </w:p>
        </w:tc>
        <w:tc>
          <w:tcPr>
            <w:tcW w:type="dxa" w:w="3513"/>
          </w:tcPr>
          <w:p>
            <w:r>
              <w:t>14.25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0.94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Portugal 2-0 @ 2.35  |  每100元回报：¥235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结论一致性：预测Portugal胜，赔率1.2，凯莉0%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概率一致性：预测概率79.7% vs 市场隐含概率83.3% — 偏差3.6%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