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公平概率：44.9%  |  凯莉比例：0%  |  变异系数CV：2.24%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3.7</w:t>
            </w:r>
          </w:p>
        </w:tc>
        <w:tc>
          <w:tcPr>
            <w:tcW w:type="dxa" w:w="3513"/>
          </w:tcPr>
          <w:p>
            <w:r>
              <w:t>2.78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概率一致性：预测概率44.9% vs 市场隐含概率46.9% — 偏差2.0%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