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公平概率：62.5%  |  凯莉比例：0%  |  变异系数CV：1.87%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7.5</w:t>
            </w:r>
          </w:p>
        </w:tc>
        <w:tc>
          <w:tcPr>
            <w:tcW w:type="dxa" w:w="3513"/>
          </w:tcPr>
          <w:p>
            <w:r>
              <w:t>5.62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1.21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1.21 @ 1.21  |  每100元回报：¥121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3.02  |  每100元回报：¥302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概率一致性：预测概率62.5% vs 市场隐含概率65.4%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